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ind w:left="0"/>
        <w:rPr>
          <w:rFonts w:ascii="Times New Roman"/>
          <w:sz w:val="20"/>
        </w:rPr>
      </w:pPr>
    </w:p>
    <w:p>
      <w:pPr>
        <w:pStyle w:val="4"/>
        <w:spacing w:before="1"/>
        <w:ind w:left="0"/>
        <w:rPr>
          <w:sz w:val="64"/>
        </w:rPr>
      </w:pPr>
    </w:p>
    <w:p>
      <w:pPr>
        <w:autoSpaceDE/>
        <w:autoSpaceDN/>
        <w:spacing w:line="360" w:lineRule="auto"/>
        <w:ind w:firstLine="2160" w:firstLineChars="300"/>
        <w:rPr>
          <w:rFonts w:hint="eastAsia" w:ascii="黑体" w:hAnsi="黑体" w:eastAsia="黑体" w:cs="黑体"/>
          <w:sz w:val="72"/>
          <w:szCs w:val="72"/>
          <w:lang w:val="en-US" w:bidi="ar-SA"/>
        </w:rPr>
      </w:pPr>
    </w:p>
    <w:p>
      <w:pPr>
        <w:autoSpaceDE/>
        <w:autoSpaceDN/>
        <w:spacing w:line="360" w:lineRule="auto"/>
        <w:ind w:firstLine="2160" w:firstLineChars="300"/>
        <w:rPr>
          <w:rFonts w:hint="eastAsia" w:ascii="黑体" w:hAnsi="黑体" w:eastAsia="黑体" w:cs="黑体"/>
          <w:sz w:val="72"/>
          <w:szCs w:val="72"/>
          <w:lang w:val="en-US" w:bidi="ar-SA"/>
        </w:rPr>
      </w:pPr>
    </w:p>
    <w:p>
      <w:pPr>
        <w:autoSpaceDE/>
        <w:autoSpaceDN/>
        <w:spacing w:line="360" w:lineRule="auto"/>
        <w:ind w:firstLine="2160" w:firstLineChars="300"/>
        <w:rPr>
          <w:rFonts w:hint="eastAsia" w:ascii="黑体" w:hAnsi="黑体" w:eastAsia="黑体" w:cs="黑体"/>
          <w:sz w:val="72"/>
          <w:szCs w:val="72"/>
          <w:lang w:val="en-US" w:bidi="ar-SA"/>
        </w:rPr>
      </w:pPr>
      <w:r>
        <w:rPr>
          <w:rFonts w:hint="eastAsia" w:ascii="黑体" w:hAnsi="黑体" w:eastAsia="黑体" w:cs="黑体"/>
          <w:sz w:val="72"/>
          <w:szCs w:val="72"/>
          <w:lang w:val="en-US" w:bidi="ar-SA"/>
        </w:rPr>
        <w:t>社会责任报告</w:t>
      </w:r>
    </w:p>
    <w:p>
      <w:pPr>
        <w:pStyle w:val="3"/>
        <w:rPr>
          <w:rFonts w:hint="eastAsia" w:ascii="黑体" w:hAnsi="黑体" w:eastAsia="黑体" w:cs="黑体"/>
          <w:sz w:val="72"/>
          <w:szCs w:val="72"/>
          <w:lang w:val="en-US" w:bidi="ar-SA"/>
        </w:rPr>
      </w:pPr>
    </w:p>
    <w:p>
      <w:pPr>
        <w:rPr>
          <w:rFonts w:hint="eastAsia"/>
          <w:lang w:val="en-US"/>
        </w:rPr>
      </w:pPr>
    </w:p>
    <w:p>
      <w:pPr>
        <w:autoSpaceDE/>
        <w:autoSpaceDN/>
        <w:spacing w:line="360" w:lineRule="auto"/>
        <w:rPr>
          <w:rFonts w:hint="eastAsia" w:ascii="黑体" w:hAnsi="黑体" w:eastAsia="黑体" w:cs="黑体"/>
          <w:sz w:val="44"/>
          <w:szCs w:val="44"/>
          <w:lang w:val="en-US" w:eastAsia="zh-CN" w:bidi="ar-SA"/>
        </w:rPr>
      </w:pPr>
    </w:p>
    <w:p>
      <w:pPr>
        <w:spacing w:before="28"/>
        <w:ind w:right="239"/>
        <w:jc w:val="center"/>
        <w:rPr>
          <w:rFonts w:hint="eastAsia"/>
          <w:sz w:val="52"/>
        </w:rPr>
      </w:pPr>
    </w:p>
    <w:p>
      <w:pPr>
        <w:spacing w:before="28"/>
        <w:ind w:right="239"/>
        <w:jc w:val="both"/>
        <w:rPr>
          <w:rFonts w:hint="eastAsia" w:eastAsia="宋体"/>
          <w:sz w:val="52"/>
          <w:lang w:eastAsia="zh-CN"/>
        </w:rPr>
      </w:pPr>
    </w:p>
    <w:p>
      <w:pPr>
        <w:pStyle w:val="3"/>
        <w:rPr>
          <w:rFonts w:hint="eastAsia" w:eastAsia="宋体"/>
          <w:sz w:val="52"/>
          <w:lang w:eastAsia="zh-CN"/>
        </w:rPr>
      </w:pPr>
    </w:p>
    <w:p>
      <w:pPr>
        <w:rPr>
          <w:rFonts w:hint="eastAsia" w:eastAsia="宋体"/>
          <w:sz w:val="52"/>
          <w:lang w:eastAsia="zh-CN"/>
        </w:rPr>
      </w:pPr>
    </w:p>
    <w:p>
      <w:pPr>
        <w:pStyle w:val="3"/>
        <w:rPr>
          <w:rFonts w:hint="eastAsia"/>
          <w:lang w:eastAsia="zh-CN"/>
        </w:rPr>
      </w:pPr>
    </w:p>
    <w:p>
      <w:pPr>
        <w:pStyle w:val="3"/>
        <w:rPr>
          <w:rFonts w:hint="eastAsia" w:eastAsia="宋体"/>
          <w:sz w:val="52"/>
          <w:lang w:eastAsia="zh-CN"/>
        </w:rPr>
      </w:pPr>
    </w:p>
    <w:p>
      <w:pPr>
        <w:rPr>
          <w:rFonts w:hint="eastAsia" w:eastAsia="宋体"/>
          <w:sz w:val="52"/>
          <w:lang w:eastAsia="zh-CN"/>
        </w:rPr>
      </w:pPr>
    </w:p>
    <w:p>
      <w:pPr>
        <w:pStyle w:val="3"/>
        <w:rPr>
          <w:rFonts w:hint="eastAsia"/>
          <w:lang w:eastAsia="zh-CN"/>
        </w:rPr>
      </w:pPr>
    </w:p>
    <w:p>
      <w:pPr>
        <w:autoSpaceDE/>
        <w:autoSpaceDN/>
        <w:spacing w:line="360" w:lineRule="auto"/>
        <w:ind w:firstLine="1928" w:firstLineChars="400"/>
        <w:jc w:val="both"/>
        <w:rPr>
          <w:rFonts w:hint="eastAsia" w:eastAsia="宋体"/>
          <w:sz w:val="44"/>
          <w:szCs w:val="44"/>
          <w:lang w:eastAsia="zh-CN"/>
        </w:rPr>
      </w:pPr>
      <w:r>
        <w:rPr>
          <w:rFonts w:hint="eastAsia"/>
          <w:b/>
          <w:sz w:val="48"/>
          <w:szCs w:val="48"/>
          <w:lang w:eastAsia="zh-CN"/>
        </w:rPr>
        <w:t>浙江雷丰模具股份有限公司</w:t>
      </w:r>
    </w:p>
    <w:p>
      <w:pPr>
        <w:autoSpaceDE/>
        <w:autoSpaceDN/>
        <w:spacing w:line="360" w:lineRule="auto"/>
        <w:jc w:val="center"/>
        <w:rPr>
          <w:rFonts w:ascii="楷体" w:hAnsi="楷体" w:eastAsia="楷体"/>
          <w:sz w:val="48"/>
          <w:szCs w:val="44"/>
        </w:rPr>
      </w:pPr>
      <w:r>
        <w:rPr>
          <w:rFonts w:hint="eastAsia" w:ascii="楷体" w:hAnsi="楷体" w:eastAsia="楷体"/>
          <w:sz w:val="48"/>
          <w:szCs w:val="44"/>
        </w:rPr>
        <w:t>二零二</w:t>
      </w:r>
      <w:r>
        <w:rPr>
          <w:rFonts w:hint="eastAsia" w:ascii="楷体" w:hAnsi="楷体" w:eastAsia="楷体"/>
          <w:sz w:val="48"/>
          <w:szCs w:val="44"/>
          <w:lang w:val="en-US" w:eastAsia="zh-CN"/>
        </w:rPr>
        <w:t>三</w:t>
      </w:r>
      <w:r>
        <w:rPr>
          <w:rFonts w:hint="eastAsia" w:ascii="楷体" w:hAnsi="楷体" w:eastAsia="楷体"/>
          <w:sz w:val="48"/>
          <w:szCs w:val="44"/>
        </w:rPr>
        <w:t>年</w:t>
      </w:r>
      <w:r>
        <w:rPr>
          <w:rFonts w:hint="eastAsia" w:ascii="楷体" w:hAnsi="楷体" w:eastAsia="楷体"/>
          <w:sz w:val="48"/>
          <w:szCs w:val="44"/>
          <w:lang w:val="en-US" w:eastAsia="zh-CN"/>
        </w:rPr>
        <w:t>十</w:t>
      </w:r>
      <w:r>
        <w:rPr>
          <w:rFonts w:hint="eastAsia" w:ascii="楷体" w:hAnsi="楷体" w:eastAsia="楷体"/>
          <w:sz w:val="48"/>
          <w:szCs w:val="44"/>
        </w:rPr>
        <w:t>月</w:t>
      </w:r>
    </w:p>
    <w:p>
      <w:pPr>
        <w:pStyle w:val="3"/>
      </w:pPr>
    </w:p>
    <w:p>
      <w:pPr>
        <w:spacing w:before="54"/>
        <w:ind w:right="242"/>
        <w:jc w:val="center"/>
        <w:rPr>
          <w:sz w:val="32"/>
        </w:rPr>
      </w:pPr>
      <w:r>
        <w:rPr>
          <w:sz w:val="32"/>
        </w:rPr>
        <w:t>报告编写说明</w:t>
      </w:r>
    </w:p>
    <w:p>
      <w:pPr>
        <w:pStyle w:val="4"/>
        <w:ind w:left="0"/>
        <w:rPr>
          <w:sz w:val="20"/>
        </w:rPr>
      </w:pPr>
    </w:p>
    <w:p>
      <w:pPr>
        <w:pStyle w:val="4"/>
        <w:spacing w:before="6"/>
        <w:ind w:left="0"/>
        <w:rPr>
          <w:sz w:val="26"/>
        </w:rPr>
      </w:pPr>
    </w:p>
    <w:p>
      <w:pPr>
        <w:pStyle w:val="15"/>
        <w:numPr>
          <w:ilvl w:val="0"/>
          <w:numId w:val="1"/>
        </w:numPr>
        <w:tabs>
          <w:tab w:val="left" w:pos="480"/>
        </w:tabs>
        <w:spacing w:before="66"/>
        <w:jc w:val="both"/>
        <w:rPr>
          <w:sz w:val="24"/>
        </w:rPr>
      </w:pPr>
      <w:r>
        <w:rPr>
          <w:sz w:val="24"/>
        </w:rPr>
        <w:t>报告简介</w:t>
      </w:r>
    </w:p>
    <w:p>
      <w:pPr>
        <w:pStyle w:val="4"/>
        <w:spacing w:before="189" w:line="360" w:lineRule="auto"/>
        <w:ind w:left="121" w:leftChars="55" w:firstLine="480" w:firstLineChars="200"/>
        <w:rPr>
          <w:highlight w:val="none"/>
        </w:rPr>
      </w:pPr>
      <w:r>
        <w:rPr>
          <w:highlight w:val="none"/>
        </w:rPr>
        <w:t>《</w:t>
      </w:r>
      <w:r>
        <w:rPr>
          <w:rFonts w:hint="eastAsia"/>
          <w:highlight w:val="none"/>
          <w:lang w:val="en-US" w:eastAsia="zh-CN"/>
        </w:rPr>
        <w:t>浙江雷丰模具股份有限公司2022</w:t>
      </w:r>
      <w:r>
        <w:rPr>
          <w:highlight w:val="none"/>
        </w:rPr>
        <w:t>年企业社会责任报告》是</w:t>
      </w:r>
      <w:r>
        <w:rPr>
          <w:rFonts w:hint="eastAsia"/>
          <w:highlight w:val="none"/>
          <w:lang w:eastAsia="zh-CN"/>
        </w:rPr>
        <w:t>浙江雷丰模具股份有限公司</w:t>
      </w:r>
      <w:r>
        <w:rPr>
          <w:spacing w:val="-3"/>
          <w:highlight w:val="none"/>
        </w:rPr>
        <w:t>发布的第一份企业社会责任报告。报告回顾了</w:t>
      </w:r>
      <w:r>
        <w:rPr>
          <w:rFonts w:hint="eastAsia"/>
          <w:spacing w:val="-3"/>
          <w:highlight w:val="none"/>
          <w:lang w:val="en-US" w:eastAsia="zh-CN"/>
        </w:rPr>
        <w:t>雷丰2022</w:t>
      </w:r>
      <w:r>
        <w:rPr>
          <w:spacing w:val="-11"/>
          <w:highlight w:val="none"/>
        </w:rPr>
        <w:t>年所面临的机遇</w:t>
      </w:r>
      <w:r>
        <w:rPr>
          <w:highlight w:val="none"/>
        </w:rPr>
        <w:t>与挑战，披露了相关的社会责任实践和绩效。</w:t>
      </w:r>
    </w:p>
    <w:p>
      <w:pPr>
        <w:pStyle w:val="15"/>
        <w:numPr>
          <w:ilvl w:val="0"/>
          <w:numId w:val="1"/>
        </w:numPr>
        <w:tabs>
          <w:tab w:val="left" w:pos="480"/>
        </w:tabs>
        <w:spacing w:before="0" w:line="305" w:lineRule="exact"/>
        <w:rPr>
          <w:sz w:val="24"/>
        </w:rPr>
      </w:pPr>
      <w:r>
        <w:rPr>
          <w:sz w:val="24"/>
        </w:rPr>
        <w:t>时间范围</w:t>
      </w:r>
    </w:p>
    <w:p>
      <w:pPr>
        <w:pStyle w:val="4"/>
        <w:spacing w:before="187"/>
        <w:ind w:left="600"/>
      </w:pPr>
      <w:r>
        <w:t>报告中的</w:t>
      </w:r>
      <w:r>
        <w:rPr>
          <w:rFonts w:hint="eastAsia"/>
          <w:lang w:val="en-US" w:eastAsia="zh-CN"/>
        </w:rPr>
        <w:t>2022</w:t>
      </w:r>
      <w:r>
        <w:t xml:space="preserve"> 年均指</w:t>
      </w:r>
      <w:r>
        <w:rPr>
          <w:rFonts w:hint="eastAsia"/>
          <w:lang w:val="en-US" w:eastAsia="zh-CN"/>
        </w:rPr>
        <w:t>2022</w:t>
      </w:r>
      <w:r>
        <w:t xml:space="preserve"> </w:t>
      </w:r>
      <w:r>
        <w:rPr>
          <w:rFonts w:hint="eastAsia"/>
        </w:rPr>
        <w:t>全</w:t>
      </w:r>
      <w:r>
        <w:t>年。</w:t>
      </w:r>
    </w:p>
    <w:p>
      <w:pPr>
        <w:pStyle w:val="15"/>
        <w:numPr>
          <w:ilvl w:val="0"/>
          <w:numId w:val="1"/>
        </w:numPr>
        <w:tabs>
          <w:tab w:val="left" w:pos="480"/>
        </w:tabs>
        <w:spacing w:before="189"/>
        <w:jc w:val="both"/>
        <w:rPr>
          <w:sz w:val="24"/>
        </w:rPr>
      </w:pPr>
      <w:r>
        <w:rPr>
          <w:sz w:val="24"/>
        </w:rPr>
        <w:t>发布周期</w:t>
      </w:r>
    </w:p>
    <w:p>
      <w:pPr>
        <w:pStyle w:val="4"/>
        <w:spacing w:before="190"/>
        <w:ind w:left="600"/>
      </w:pPr>
      <w:r>
        <w:t>本报告为年度报告。</w:t>
      </w:r>
    </w:p>
    <w:p>
      <w:pPr>
        <w:pStyle w:val="15"/>
        <w:numPr>
          <w:ilvl w:val="0"/>
          <w:numId w:val="1"/>
        </w:numPr>
        <w:tabs>
          <w:tab w:val="left" w:pos="480"/>
        </w:tabs>
        <w:spacing w:before="187"/>
        <w:jc w:val="both"/>
        <w:rPr>
          <w:sz w:val="24"/>
        </w:rPr>
      </w:pPr>
      <w:r>
        <w:rPr>
          <w:sz w:val="24"/>
        </w:rPr>
        <w:t>报告范围</w:t>
      </w:r>
    </w:p>
    <w:p>
      <w:pPr>
        <w:pStyle w:val="4"/>
        <w:spacing w:before="189"/>
        <w:ind w:left="600"/>
        <w:rPr>
          <w:highlight w:val="none"/>
        </w:rPr>
      </w:pPr>
      <w:r>
        <w:rPr>
          <w:highlight w:val="none"/>
        </w:rPr>
        <w:t>与</w:t>
      </w:r>
      <w:r>
        <w:rPr>
          <w:rFonts w:hint="eastAsia"/>
          <w:highlight w:val="none"/>
          <w:lang w:eastAsia="zh-CN"/>
        </w:rPr>
        <w:t>浙江雷丰模具股份有限公司</w:t>
      </w:r>
      <w:r>
        <w:rPr>
          <w:highlight w:val="none"/>
        </w:rPr>
        <w:t>的业务范围一致。</w:t>
      </w:r>
    </w:p>
    <w:p>
      <w:pPr>
        <w:pStyle w:val="15"/>
        <w:numPr>
          <w:ilvl w:val="0"/>
          <w:numId w:val="1"/>
        </w:numPr>
        <w:tabs>
          <w:tab w:val="left" w:pos="480"/>
        </w:tabs>
        <w:spacing w:before="189"/>
        <w:jc w:val="both"/>
        <w:rPr>
          <w:sz w:val="24"/>
        </w:rPr>
      </w:pPr>
      <w:r>
        <w:rPr>
          <w:sz w:val="24"/>
        </w:rPr>
        <w:t>数据来源</w:t>
      </w:r>
    </w:p>
    <w:p>
      <w:pPr>
        <w:pStyle w:val="4"/>
        <w:spacing w:before="187" w:line="388" w:lineRule="auto"/>
        <w:ind w:right="360" w:firstLine="480"/>
        <w:jc w:val="both"/>
      </w:pPr>
      <w:r>
        <w:rPr>
          <w:spacing w:val="-5"/>
          <w:highlight w:val="none"/>
        </w:rPr>
        <w:t>报告使用数据来自</w:t>
      </w:r>
      <w:r>
        <w:rPr>
          <w:rFonts w:hint="eastAsia"/>
          <w:spacing w:val="-5"/>
          <w:highlight w:val="none"/>
          <w:lang w:val="en-US" w:eastAsia="zh-CN"/>
        </w:rPr>
        <w:t>雷丰2022</w:t>
      </w:r>
      <w:r>
        <w:rPr>
          <w:spacing w:val="-8"/>
          <w:highlight w:val="none"/>
        </w:rPr>
        <w:t xml:space="preserve"> 年报，以及公司正式文件和统计报告。</w:t>
      </w:r>
      <w:r>
        <w:rPr>
          <w:spacing w:val="-14"/>
          <w:highlight w:val="none"/>
        </w:rPr>
        <w:t>部门数据</w:t>
      </w:r>
      <w:r>
        <w:rPr>
          <w:spacing w:val="-14"/>
        </w:rPr>
        <w:t>由于数据统计和口径的原因，有不完善的地方。我们将在日后不断完善</w:t>
      </w:r>
      <w:r>
        <w:t>数据指标统计系统，以保证将来提供更加全面的信息。</w:t>
      </w:r>
    </w:p>
    <w:p>
      <w:pPr>
        <w:pStyle w:val="15"/>
        <w:numPr>
          <w:ilvl w:val="0"/>
          <w:numId w:val="1"/>
        </w:numPr>
        <w:tabs>
          <w:tab w:val="left" w:pos="480"/>
        </w:tabs>
        <w:spacing w:before="0" w:line="301" w:lineRule="exact"/>
        <w:jc w:val="both"/>
        <w:rPr>
          <w:sz w:val="24"/>
        </w:rPr>
      </w:pPr>
      <w:r>
        <w:rPr>
          <w:sz w:val="24"/>
        </w:rPr>
        <w:t>指代说明</w:t>
      </w:r>
    </w:p>
    <w:p>
      <w:pPr>
        <w:pStyle w:val="4"/>
        <w:spacing w:before="189" w:line="388" w:lineRule="auto"/>
        <w:ind w:right="358" w:firstLine="480"/>
      </w:pPr>
      <w:r>
        <w:rPr>
          <w:spacing w:val="-26"/>
        </w:rPr>
        <w:t>为便于表述，报告中“公司”、“我们”、 “</w:t>
      </w:r>
      <w:r>
        <w:rPr>
          <w:rFonts w:hint="eastAsia"/>
          <w:spacing w:val="-26"/>
          <w:lang w:val="en-US" w:eastAsia="zh-CN"/>
        </w:rPr>
        <w:t>雷丰</w:t>
      </w:r>
      <w:r>
        <w:rPr>
          <w:spacing w:val="-26"/>
        </w:rPr>
        <w:t>”均指代</w:t>
      </w:r>
      <w:r>
        <w:rPr>
          <w:spacing w:val="-11"/>
        </w:rPr>
        <w:t>“</w:t>
      </w:r>
      <w:r>
        <w:rPr>
          <w:rFonts w:hint="eastAsia"/>
          <w:spacing w:val="-11"/>
          <w:lang w:eastAsia="zh-CN"/>
        </w:rPr>
        <w:t>浙江雷丰模具股份有限公司</w:t>
      </w:r>
      <w:r>
        <w:rPr>
          <w:spacing w:val="-11"/>
        </w:rPr>
        <w:t>”。</w:t>
      </w:r>
    </w:p>
    <w:p>
      <w:pPr>
        <w:spacing w:line="388" w:lineRule="auto"/>
        <w:sectPr>
          <w:headerReference r:id="rId3" w:type="default"/>
          <w:footerReference r:id="rId4" w:type="default"/>
          <w:pgSz w:w="11910" w:h="16840"/>
          <w:pgMar w:top="1420" w:right="1440" w:bottom="1380" w:left="1680" w:header="877" w:footer="1197" w:gutter="0"/>
          <w:pgBorders>
            <w:top w:val="none" w:sz="0" w:space="0"/>
            <w:left w:val="none" w:sz="0" w:space="0"/>
            <w:bottom w:val="none" w:sz="0" w:space="0"/>
            <w:right w:val="none" w:sz="0" w:space="0"/>
          </w:pgBorders>
          <w:cols w:space="720" w:num="1"/>
        </w:sectPr>
      </w:pPr>
    </w:p>
    <w:p>
      <w:pPr>
        <w:pStyle w:val="4"/>
        <w:spacing w:before="1"/>
        <w:ind w:left="0"/>
        <w:rPr>
          <w:sz w:val="19"/>
        </w:rPr>
      </w:pPr>
    </w:p>
    <w:sdt>
      <w:sdtPr>
        <w:rPr>
          <w:rFonts w:ascii="宋体" w:hAnsi="宋体" w:eastAsia="宋体" w:cs="宋体"/>
          <w:color w:val="auto"/>
          <w:sz w:val="22"/>
          <w:szCs w:val="22"/>
          <w:lang w:val="zh-CN" w:bidi="zh-CN"/>
        </w:rPr>
        <w:id w:val="1619027494"/>
        <w:docPartObj>
          <w:docPartGallery w:val="Table of Contents"/>
          <w:docPartUnique/>
        </w:docPartObj>
      </w:sdtPr>
      <w:sdtEndPr>
        <w:rPr>
          <w:rFonts w:ascii="宋体" w:hAnsi="宋体" w:eastAsia="宋体" w:cs="宋体"/>
          <w:b/>
          <w:bCs/>
          <w:color w:val="auto"/>
          <w:sz w:val="22"/>
          <w:szCs w:val="22"/>
          <w:lang w:val="zh-CN" w:bidi="zh-CN"/>
        </w:rPr>
      </w:sdtEndPr>
      <w:sdtContent>
        <w:p>
          <w:pPr>
            <w:pStyle w:val="20"/>
            <w:jc w:val="center"/>
          </w:pPr>
          <w:r>
            <w:rPr>
              <w:lang w:val="zh-CN"/>
            </w:rPr>
            <w:t>目录</w:t>
          </w:r>
        </w:p>
        <w:p>
          <w:pPr>
            <w:pStyle w:val="9"/>
            <w:tabs>
              <w:tab w:val="right" w:leader="dot" w:pos="8780"/>
            </w:tabs>
            <w:rPr>
              <w:rFonts w:asciiTheme="minorHAnsi" w:hAnsiTheme="minorHAnsi" w:eastAsiaTheme="minorEastAsia" w:cstheme="minorBidi"/>
              <w:kern w:val="2"/>
              <w:sz w:val="21"/>
              <w:szCs w:val="22"/>
              <w:lang w:val="en-US" w:bidi="ar-SA"/>
            </w:rPr>
          </w:pPr>
          <w:r>
            <w:fldChar w:fldCharType="begin"/>
          </w:r>
          <w:r>
            <w:instrText xml:space="preserve"> TOC \o "1-3" \h \z \u </w:instrText>
          </w:r>
          <w:r>
            <w:fldChar w:fldCharType="separate"/>
          </w:r>
          <w:r>
            <w:fldChar w:fldCharType="begin"/>
          </w:r>
          <w:r>
            <w:instrText xml:space="preserve"> HYPERLINK \l "_Toc24531704" </w:instrText>
          </w:r>
          <w:r>
            <w:fldChar w:fldCharType="separate"/>
          </w:r>
          <w:r>
            <w:rPr>
              <w:rStyle w:val="12"/>
            </w:rPr>
            <w:t>公司概况</w:t>
          </w:r>
          <w:r>
            <w:tab/>
          </w:r>
          <w:r>
            <w:fldChar w:fldCharType="begin"/>
          </w:r>
          <w:r>
            <w:instrText xml:space="preserve"> PAGEREF _Toc24531704 \h </w:instrText>
          </w:r>
          <w:r>
            <w:fldChar w:fldCharType="separate"/>
          </w:r>
          <w:r>
            <w:t>1</w:t>
          </w:r>
          <w:r>
            <w:fldChar w:fldCharType="end"/>
          </w:r>
          <w:r>
            <w:fldChar w:fldCharType="end"/>
          </w:r>
        </w:p>
        <w:p>
          <w:pPr>
            <w:pStyle w:val="9"/>
            <w:tabs>
              <w:tab w:val="right" w:leader="dot" w:pos="8780"/>
            </w:tabs>
            <w:rPr>
              <w:rFonts w:asciiTheme="minorHAnsi" w:hAnsiTheme="minorHAnsi" w:eastAsiaTheme="minorEastAsia" w:cstheme="minorBidi"/>
              <w:kern w:val="2"/>
              <w:sz w:val="21"/>
              <w:szCs w:val="22"/>
              <w:lang w:val="en-US" w:bidi="ar-SA"/>
            </w:rPr>
          </w:pPr>
          <w:r>
            <w:fldChar w:fldCharType="begin"/>
          </w:r>
          <w:r>
            <w:instrText xml:space="preserve"> HYPERLINK \l "_Toc24531705" </w:instrText>
          </w:r>
          <w:r>
            <w:fldChar w:fldCharType="separate"/>
          </w:r>
          <w:r>
            <w:rPr>
              <w:rStyle w:val="12"/>
            </w:rPr>
            <w:t>一、责任聚焦</w:t>
          </w:r>
          <w:r>
            <w:tab/>
          </w:r>
          <w:r>
            <w:fldChar w:fldCharType="begin"/>
          </w:r>
          <w:r>
            <w:instrText xml:space="preserve"> PAGEREF _Toc24531705 \h </w:instrText>
          </w:r>
          <w:r>
            <w:fldChar w:fldCharType="separate"/>
          </w:r>
          <w:r>
            <w:t>1</w:t>
          </w:r>
          <w:r>
            <w:fldChar w:fldCharType="end"/>
          </w:r>
          <w:r>
            <w:fldChar w:fldCharType="end"/>
          </w:r>
        </w:p>
        <w:p>
          <w:pPr>
            <w:pStyle w:val="9"/>
            <w:tabs>
              <w:tab w:val="right" w:leader="dot" w:pos="8780"/>
            </w:tabs>
            <w:rPr>
              <w:rFonts w:asciiTheme="minorHAnsi" w:hAnsiTheme="minorHAnsi" w:eastAsiaTheme="minorEastAsia" w:cstheme="minorBidi"/>
              <w:kern w:val="2"/>
              <w:sz w:val="21"/>
              <w:szCs w:val="22"/>
              <w:lang w:val="en-US" w:bidi="ar-SA"/>
            </w:rPr>
          </w:pPr>
          <w:r>
            <w:fldChar w:fldCharType="begin"/>
          </w:r>
          <w:r>
            <w:instrText xml:space="preserve"> HYPERLINK \l "_Toc24531706" </w:instrText>
          </w:r>
          <w:r>
            <w:fldChar w:fldCharType="separate"/>
          </w:r>
          <w:r>
            <w:rPr>
              <w:rStyle w:val="12"/>
            </w:rPr>
            <w:t>二、战略与管理</w:t>
          </w:r>
          <w:r>
            <w:tab/>
          </w:r>
          <w:r>
            <w:fldChar w:fldCharType="begin"/>
          </w:r>
          <w:r>
            <w:instrText xml:space="preserve"> PAGEREF _Toc24531706 \h </w:instrText>
          </w:r>
          <w:r>
            <w:fldChar w:fldCharType="separate"/>
          </w:r>
          <w:r>
            <w:t>4</w:t>
          </w:r>
          <w:r>
            <w:fldChar w:fldCharType="end"/>
          </w:r>
          <w:r>
            <w:fldChar w:fldCharType="end"/>
          </w:r>
        </w:p>
        <w:p>
          <w:pPr>
            <w:pStyle w:val="9"/>
            <w:tabs>
              <w:tab w:val="right" w:leader="dot" w:pos="8780"/>
            </w:tabs>
            <w:rPr>
              <w:rFonts w:asciiTheme="minorHAnsi" w:hAnsiTheme="minorHAnsi" w:eastAsiaTheme="minorEastAsia" w:cstheme="minorBidi"/>
              <w:kern w:val="2"/>
              <w:sz w:val="21"/>
              <w:szCs w:val="22"/>
              <w:lang w:val="en-US" w:bidi="ar-SA"/>
            </w:rPr>
          </w:pPr>
          <w:r>
            <w:fldChar w:fldCharType="begin"/>
          </w:r>
          <w:r>
            <w:instrText xml:space="preserve"> HYPERLINK \l "_Toc24531707" </w:instrText>
          </w:r>
          <w:r>
            <w:fldChar w:fldCharType="separate"/>
          </w:r>
          <w:r>
            <w:rPr>
              <w:rStyle w:val="12"/>
            </w:rPr>
            <w:t>三、守法合规</w:t>
          </w:r>
          <w:r>
            <w:tab/>
          </w:r>
          <w:r>
            <w:rPr>
              <w:rFonts w:hint="eastAsia"/>
            </w:rPr>
            <w:t>19</w:t>
          </w:r>
          <w:r>
            <w:rPr>
              <w:rFonts w:hint="eastAsia"/>
            </w:rPr>
            <w:fldChar w:fldCharType="end"/>
          </w:r>
        </w:p>
        <w:p>
          <w:pPr>
            <w:pStyle w:val="9"/>
            <w:tabs>
              <w:tab w:val="right" w:leader="dot" w:pos="8780"/>
            </w:tabs>
            <w:rPr>
              <w:rFonts w:asciiTheme="minorHAnsi" w:hAnsiTheme="minorHAnsi" w:eastAsiaTheme="minorEastAsia" w:cstheme="minorBidi"/>
              <w:kern w:val="2"/>
              <w:sz w:val="21"/>
              <w:szCs w:val="22"/>
              <w:lang w:val="en-US" w:bidi="ar-SA"/>
            </w:rPr>
          </w:pPr>
          <w:r>
            <w:fldChar w:fldCharType="begin"/>
          </w:r>
          <w:r>
            <w:instrText xml:space="preserve"> HYPERLINK \l "_Toc24531708" </w:instrText>
          </w:r>
          <w:r>
            <w:fldChar w:fldCharType="separate"/>
          </w:r>
          <w:r>
            <w:rPr>
              <w:rStyle w:val="12"/>
            </w:rPr>
            <w:t>四、回报股东</w:t>
          </w:r>
          <w:r>
            <w:tab/>
          </w:r>
          <w:r>
            <w:rPr>
              <w:rFonts w:hint="eastAsia"/>
            </w:rPr>
            <w:t>19</w:t>
          </w:r>
          <w:r>
            <w:rPr>
              <w:rFonts w:hint="eastAsia"/>
            </w:rPr>
            <w:fldChar w:fldCharType="end"/>
          </w:r>
        </w:p>
        <w:p>
          <w:pPr>
            <w:pStyle w:val="9"/>
            <w:tabs>
              <w:tab w:val="right" w:leader="dot" w:pos="8780"/>
            </w:tabs>
            <w:rPr>
              <w:rFonts w:asciiTheme="minorHAnsi" w:hAnsiTheme="minorHAnsi" w:eastAsiaTheme="minorEastAsia" w:cstheme="minorBidi"/>
              <w:kern w:val="2"/>
              <w:sz w:val="21"/>
              <w:szCs w:val="22"/>
              <w:lang w:val="en-US" w:bidi="ar-SA"/>
            </w:rPr>
          </w:pPr>
          <w:r>
            <w:fldChar w:fldCharType="begin"/>
          </w:r>
          <w:r>
            <w:instrText xml:space="preserve"> HYPERLINK \l "_Toc24531709" </w:instrText>
          </w:r>
          <w:r>
            <w:fldChar w:fldCharType="separate"/>
          </w:r>
          <w:r>
            <w:rPr>
              <w:rStyle w:val="12"/>
            </w:rPr>
            <w:t>五、服务客户</w:t>
          </w:r>
          <w:r>
            <w:tab/>
          </w:r>
          <w:r>
            <w:fldChar w:fldCharType="begin"/>
          </w:r>
          <w:r>
            <w:instrText xml:space="preserve"> PAGEREF _Toc24531709 \h </w:instrText>
          </w:r>
          <w:r>
            <w:fldChar w:fldCharType="separate"/>
          </w:r>
          <w:r>
            <w:t>14</w:t>
          </w:r>
          <w:r>
            <w:fldChar w:fldCharType="end"/>
          </w:r>
          <w:r>
            <w:fldChar w:fldCharType="end"/>
          </w:r>
        </w:p>
        <w:p>
          <w:pPr>
            <w:pStyle w:val="9"/>
            <w:tabs>
              <w:tab w:val="right" w:leader="dot" w:pos="8780"/>
            </w:tabs>
            <w:rPr>
              <w:rFonts w:asciiTheme="minorHAnsi" w:hAnsiTheme="minorHAnsi" w:eastAsiaTheme="minorEastAsia" w:cstheme="minorBidi"/>
              <w:kern w:val="2"/>
              <w:sz w:val="21"/>
              <w:szCs w:val="22"/>
              <w:lang w:val="en-US" w:bidi="ar-SA"/>
            </w:rPr>
          </w:pPr>
          <w:r>
            <w:fldChar w:fldCharType="begin"/>
          </w:r>
          <w:r>
            <w:instrText xml:space="preserve"> HYPERLINK \l "_Toc24531711" </w:instrText>
          </w:r>
          <w:r>
            <w:fldChar w:fldCharType="separate"/>
          </w:r>
          <w:r>
            <w:rPr>
              <w:rFonts w:hint="eastAsia"/>
              <w:lang w:val="en-US" w:eastAsia="zh-CN"/>
            </w:rPr>
            <w:t>六</w:t>
          </w:r>
          <w:r>
            <w:rPr>
              <w:rStyle w:val="12"/>
            </w:rPr>
            <w:t>、奉献社会</w:t>
          </w:r>
          <w:r>
            <w:tab/>
          </w:r>
          <w:r>
            <w:fldChar w:fldCharType="begin"/>
          </w:r>
          <w:r>
            <w:instrText xml:space="preserve"> PAGEREF _Toc24531711 \h </w:instrText>
          </w:r>
          <w:r>
            <w:fldChar w:fldCharType="separate"/>
          </w:r>
          <w:r>
            <w:t>16</w:t>
          </w:r>
          <w:r>
            <w:fldChar w:fldCharType="end"/>
          </w:r>
          <w:r>
            <w:fldChar w:fldCharType="end"/>
          </w:r>
        </w:p>
        <w:p>
          <w:pPr>
            <w:pStyle w:val="9"/>
            <w:tabs>
              <w:tab w:val="right" w:leader="dot" w:pos="8780"/>
            </w:tabs>
            <w:rPr>
              <w:rFonts w:asciiTheme="minorHAnsi" w:hAnsiTheme="minorHAnsi" w:eastAsiaTheme="minorEastAsia" w:cstheme="minorBidi"/>
              <w:kern w:val="2"/>
              <w:sz w:val="21"/>
              <w:szCs w:val="22"/>
              <w:lang w:val="en-US" w:bidi="ar-SA"/>
            </w:rPr>
          </w:pPr>
          <w:r>
            <w:fldChar w:fldCharType="begin"/>
          </w:r>
          <w:r>
            <w:instrText xml:space="preserve"> HYPERLINK \l "_Toc24531712" </w:instrText>
          </w:r>
          <w:r>
            <w:fldChar w:fldCharType="separate"/>
          </w:r>
          <w:r>
            <w:rPr>
              <w:rFonts w:hint="eastAsia"/>
              <w:lang w:val="en-US" w:eastAsia="zh-CN"/>
            </w:rPr>
            <w:t>七</w:t>
          </w:r>
          <w:r>
            <w:rPr>
              <w:rStyle w:val="12"/>
              <w:spacing w:val="-1"/>
            </w:rPr>
            <w:t>、合作伙伴</w:t>
          </w:r>
          <w:r>
            <w:tab/>
          </w:r>
          <w:r>
            <w:fldChar w:fldCharType="begin"/>
          </w:r>
          <w:r>
            <w:instrText xml:space="preserve"> PAGEREF _Toc24531712 \h </w:instrText>
          </w:r>
          <w:r>
            <w:fldChar w:fldCharType="separate"/>
          </w:r>
          <w:r>
            <w:t>17</w:t>
          </w:r>
          <w:r>
            <w:fldChar w:fldCharType="end"/>
          </w:r>
          <w:r>
            <w:fldChar w:fldCharType="end"/>
          </w:r>
        </w:p>
        <w:p>
          <w:pPr>
            <w:pStyle w:val="9"/>
            <w:tabs>
              <w:tab w:val="right" w:leader="dot" w:pos="8780"/>
            </w:tabs>
            <w:rPr>
              <w:rFonts w:asciiTheme="minorHAnsi" w:hAnsiTheme="minorHAnsi" w:eastAsiaTheme="minorEastAsia" w:cstheme="minorBidi"/>
              <w:kern w:val="2"/>
              <w:sz w:val="21"/>
              <w:szCs w:val="22"/>
              <w:lang w:val="en-US" w:bidi="ar-SA"/>
            </w:rPr>
          </w:pPr>
          <w:r>
            <w:fldChar w:fldCharType="begin"/>
          </w:r>
          <w:r>
            <w:instrText xml:space="preserve"> HYPERLINK \l "_Toc24531713" </w:instrText>
          </w:r>
          <w:r>
            <w:fldChar w:fldCharType="separate"/>
          </w:r>
          <w:r>
            <w:rPr>
              <w:rFonts w:hint="eastAsia"/>
              <w:lang w:val="en-US" w:eastAsia="zh-CN"/>
            </w:rPr>
            <w:t>八</w:t>
          </w:r>
          <w:r>
            <w:rPr>
              <w:rStyle w:val="12"/>
            </w:rPr>
            <w:t>、存在问题及改进</w:t>
          </w:r>
          <w:r>
            <w:tab/>
          </w:r>
          <w:r>
            <w:fldChar w:fldCharType="begin"/>
          </w:r>
          <w:r>
            <w:instrText xml:space="preserve"> PAGEREF _Toc24531713 \h </w:instrText>
          </w:r>
          <w:r>
            <w:fldChar w:fldCharType="separate"/>
          </w:r>
          <w:r>
            <w:t>17</w:t>
          </w:r>
          <w:r>
            <w:fldChar w:fldCharType="end"/>
          </w:r>
          <w:r>
            <w:fldChar w:fldCharType="end"/>
          </w:r>
        </w:p>
        <w:p>
          <w:r>
            <w:rPr>
              <w:b/>
              <w:bCs/>
            </w:rPr>
            <w:fldChar w:fldCharType="end"/>
          </w:r>
        </w:p>
      </w:sdtContent>
    </w:sdt>
    <w:p>
      <w:pPr>
        <w:pStyle w:val="2"/>
        <w:spacing w:before="143"/>
        <w:ind w:left="0" w:right="235"/>
        <w:jc w:val="center"/>
      </w:pPr>
    </w:p>
    <w:p>
      <w:pPr>
        <w:pStyle w:val="2"/>
        <w:spacing w:before="143"/>
        <w:ind w:left="0" w:right="235"/>
        <w:jc w:val="center"/>
      </w:pPr>
    </w:p>
    <w:p>
      <w:pPr>
        <w:pStyle w:val="2"/>
        <w:spacing w:before="143"/>
        <w:ind w:left="0" w:right="235"/>
        <w:jc w:val="center"/>
      </w:pPr>
    </w:p>
    <w:p>
      <w:pPr>
        <w:pStyle w:val="2"/>
        <w:spacing w:before="143"/>
        <w:ind w:left="0" w:right="235"/>
        <w:jc w:val="center"/>
      </w:pPr>
    </w:p>
    <w:p>
      <w:pPr>
        <w:pStyle w:val="2"/>
        <w:spacing w:before="143"/>
        <w:ind w:left="0" w:right="235"/>
        <w:jc w:val="center"/>
      </w:pPr>
    </w:p>
    <w:p>
      <w:pPr>
        <w:pStyle w:val="2"/>
        <w:spacing w:before="143"/>
        <w:ind w:left="0" w:right="235"/>
        <w:jc w:val="center"/>
      </w:pPr>
    </w:p>
    <w:p>
      <w:pPr>
        <w:pStyle w:val="2"/>
        <w:spacing w:before="143"/>
        <w:ind w:left="0" w:right="235"/>
        <w:jc w:val="center"/>
      </w:pPr>
    </w:p>
    <w:p>
      <w:pPr>
        <w:pStyle w:val="2"/>
        <w:spacing w:before="143"/>
        <w:ind w:left="0" w:right="235"/>
        <w:jc w:val="center"/>
      </w:pPr>
    </w:p>
    <w:p>
      <w:pPr>
        <w:pStyle w:val="2"/>
        <w:spacing w:before="143"/>
        <w:ind w:left="0" w:right="235"/>
        <w:jc w:val="center"/>
      </w:pPr>
    </w:p>
    <w:p>
      <w:pPr>
        <w:pStyle w:val="2"/>
        <w:spacing w:before="143"/>
        <w:ind w:left="0" w:right="235"/>
        <w:jc w:val="center"/>
      </w:pPr>
    </w:p>
    <w:p/>
    <w:p/>
    <w:p/>
    <w:p>
      <w:pPr>
        <w:pStyle w:val="2"/>
        <w:spacing w:before="143"/>
        <w:ind w:left="0" w:right="235"/>
        <w:jc w:val="both"/>
        <w:sectPr>
          <w:headerReference r:id="rId5" w:type="default"/>
          <w:footerReference r:id="rId6" w:type="default"/>
          <w:pgSz w:w="11910" w:h="16840"/>
          <w:pgMar w:top="1420" w:right="1440" w:bottom="1380" w:left="1680" w:header="877" w:footer="1197" w:gutter="0"/>
          <w:pgBorders>
            <w:top w:val="none" w:sz="0" w:space="0"/>
            <w:left w:val="none" w:sz="0" w:space="0"/>
            <w:bottom w:val="none" w:sz="0" w:space="0"/>
            <w:right w:val="none" w:sz="0" w:space="0"/>
          </w:pgBorders>
          <w:cols w:space="720" w:num="1"/>
        </w:sectPr>
      </w:pPr>
    </w:p>
    <w:p/>
    <w:p>
      <w:pPr>
        <w:pStyle w:val="2"/>
        <w:spacing w:before="143"/>
        <w:ind w:left="0" w:right="235"/>
        <w:jc w:val="center"/>
        <w:rPr>
          <w:b/>
          <w:bCs/>
          <w:sz w:val="36"/>
          <w:szCs w:val="36"/>
        </w:rPr>
      </w:pPr>
      <w:bookmarkStart w:id="0" w:name="_Toc24531704"/>
      <w:r>
        <w:rPr>
          <w:b/>
          <w:bCs/>
          <w:sz w:val="36"/>
          <w:szCs w:val="36"/>
        </w:rPr>
        <w:t>公司概况</w:t>
      </w:r>
      <w:bookmarkEnd w:id="0"/>
    </w:p>
    <w:p>
      <w:pPr>
        <w:pStyle w:val="4"/>
        <w:spacing w:before="6"/>
        <w:ind w:left="0"/>
        <w:rPr>
          <w:sz w:val="22"/>
        </w:rPr>
      </w:pPr>
    </w:p>
    <w:p>
      <w:pPr>
        <w:spacing w:line="480" w:lineRule="auto"/>
        <w:ind w:firstLine="482" w:firstLineChars="200"/>
        <w:rPr>
          <w:rFonts w:hint="default" w:ascii="Times New Roman" w:hAnsi="Times New Roman" w:eastAsia="仿宋" w:cs="Times New Roman"/>
          <w:sz w:val="28"/>
          <w:szCs w:val="28"/>
          <w:lang w:val="en-US" w:eastAsia="zh-CN"/>
        </w:rPr>
      </w:pPr>
      <w:bookmarkStart w:id="1" w:name="一、责任聚焦"/>
      <w:bookmarkEnd w:id="1"/>
      <w:bookmarkStart w:id="2" w:name="_Toc24531705"/>
      <w:r>
        <w:rPr>
          <w:rFonts w:hint="eastAsia" w:cs="Times New Roman"/>
          <w:b/>
          <w:bCs/>
          <w:sz w:val="24"/>
          <w:highlight w:val="none"/>
          <w:lang w:eastAsia="zh-CN"/>
        </w:rPr>
        <w:t>浙江雷丰模具股份有限公司</w:t>
      </w:r>
      <w:r>
        <w:rPr>
          <w:rFonts w:hint="eastAsia" w:ascii="Times New Roman" w:hAnsi="Times New Roman" w:eastAsia="仿宋" w:cs="Times New Roman"/>
          <w:sz w:val="28"/>
          <w:szCs w:val="28"/>
          <w:lang w:val="en-US" w:eastAsia="zh-CN"/>
        </w:rPr>
        <w:t>是一家从事</w:t>
      </w:r>
      <w:r>
        <w:rPr>
          <w:rFonts w:hint="default" w:ascii="Times New Roman" w:hAnsi="Times New Roman" w:eastAsia="仿宋" w:cs="Times New Roman"/>
          <w:sz w:val="28"/>
          <w:szCs w:val="28"/>
          <w:lang w:val="en-US" w:eastAsia="zh-CN"/>
        </w:rPr>
        <w:t>模具、塑料制品、塑料加工专用设备等销售；技术进出口与货物进出口</w:t>
      </w:r>
      <w:r>
        <w:rPr>
          <w:rFonts w:hint="eastAsia" w:ascii="Times New Roman" w:hAnsi="Times New Roman" w:eastAsia="仿宋" w:cs="Times New Roman"/>
          <w:sz w:val="28"/>
          <w:szCs w:val="28"/>
          <w:lang w:val="en-US" w:eastAsia="zh-CN"/>
        </w:rPr>
        <w:t>业务的公司，成立于2012年07月02日，详细地址为：浙江省台州市黄岩新前街道民兴路111号；经国家企业信用信息公示系统查询得知，浙江雷丰模具股份有限公司的信用代码/税号为91331003598547333L，法人是王牧愁，注册资本为1000.000000万人民币，企业的经营范围为:一般项目：模具制造；模具销售；塑料制品制造；塑料制品销售；塑料加工专用设备制造；塑料加工专用设备销售；产业用纺织制成品销售；产业用纺织制成品生产（除依法须经批准的项目外，凭营业执照依法自主开展经营活动）。许可项目：技术进出口；货物进出口（依法须经批准的项目，经相关部门批准后方可开展经营活动，具体经营项目以审批结果为准）。</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76" w:firstLineChars="200"/>
        <w:textAlignment w:val="auto"/>
        <w:rPr>
          <w:rFonts w:hint="default"/>
          <w:spacing w:val="-1"/>
          <w:lang w:val="en-US" w:eastAsia="zh-CN"/>
        </w:rPr>
      </w:pP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76" w:firstLineChars="200"/>
        <w:textAlignment w:val="auto"/>
        <w:rPr>
          <w:rFonts w:hint="default"/>
          <w:spacing w:val="-1"/>
          <w:lang w:val="en-US" w:eastAsia="zh-CN"/>
        </w:rPr>
      </w:pPr>
    </w:p>
    <w:p>
      <w:pPr>
        <w:pStyle w:val="13"/>
        <w:rPr>
          <w:rFonts w:hint="default" w:ascii="宋体" w:hAnsi="宋体" w:eastAsia="宋体" w:cs="Times New Roman"/>
          <w:color w:val="auto"/>
          <w:kern w:val="2"/>
          <w:sz w:val="24"/>
          <w:szCs w:val="24"/>
          <w:highlight w:val="none"/>
          <w:lang w:val="en-US" w:eastAsia="zh-CN" w:bidi="ar-SA"/>
        </w:rPr>
      </w:pPr>
    </w:p>
    <w:p>
      <w:pPr>
        <w:pStyle w:val="13"/>
        <w:rPr>
          <w:rFonts w:hint="default" w:ascii="宋体" w:hAnsi="宋体" w:eastAsia="宋体" w:cs="Times New Roman"/>
          <w:sz w:val="24"/>
        </w:rPr>
      </w:pPr>
    </w:p>
    <w:p>
      <w:pPr>
        <w:pStyle w:val="13"/>
        <w:rPr>
          <w:rFonts w:hint="default" w:ascii="宋体" w:hAnsi="宋体" w:eastAsia="宋体" w:cs="Times New Roman"/>
          <w:sz w:val="24"/>
        </w:rPr>
      </w:pPr>
    </w:p>
    <w:p>
      <w:pPr>
        <w:pStyle w:val="13"/>
        <w:rPr>
          <w:rFonts w:hint="default" w:ascii="宋体" w:hAnsi="宋体" w:eastAsia="宋体" w:cs="Times New Roman"/>
          <w:sz w:val="24"/>
        </w:rPr>
      </w:pPr>
    </w:p>
    <w:p>
      <w:pPr>
        <w:pStyle w:val="13"/>
        <w:rPr>
          <w:rFonts w:hint="default" w:ascii="宋体" w:hAnsi="宋体" w:eastAsia="宋体" w:cs="Times New Roman"/>
          <w:sz w:val="24"/>
        </w:rPr>
      </w:pPr>
    </w:p>
    <w:p>
      <w:pPr>
        <w:pStyle w:val="13"/>
        <w:rPr>
          <w:rFonts w:hint="default" w:ascii="宋体" w:hAnsi="宋体" w:eastAsia="宋体" w:cs="Times New Roman"/>
          <w:sz w:val="24"/>
        </w:rPr>
      </w:pPr>
    </w:p>
    <w:p>
      <w:pPr>
        <w:pStyle w:val="13"/>
        <w:rPr>
          <w:rFonts w:hint="default" w:ascii="宋体" w:hAnsi="宋体" w:eastAsia="宋体" w:cs="Times New Roman"/>
          <w:sz w:val="24"/>
        </w:rPr>
      </w:pPr>
    </w:p>
    <w:p>
      <w:pPr>
        <w:pStyle w:val="13"/>
        <w:rPr>
          <w:rFonts w:hint="default" w:ascii="宋体" w:hAnsi="宋体" w:eastAsia="宋体" w:cs="Times New Roman"/>
          <w:sz w:val="24"/>
        </w:rPr>
      </w:pPr>
    </w:p>
    <w:p>
      <w:pPr>
        <w:pStyle w:val="13"/>
        <w:rPr>
          <w:rFonts w:hint="default" w:ascii="宋体" w:hAnsi="宋体" w:eastAsia="宋体" w:cs="Times New Roman"/>
          <w:sz w:val="24"/>
        </w:rPr>
      </w:pPr>
    </w:p>
    <w:p>
      <w:pPr>
        <w:pStyle w:val="13"/>
        <w:rPr>
          <w:rFonts w:hint="default" w:ascii="宋体" w:hAnsi="宋体" w:eastAsia="宋体" w:cs="Times New Roman"/>
          <w:sz w:val="24"/>
        </w:rPr>
      </w:pPr>
    </w:p>
    <w:p>
      <w:pPr>
        <w:pStyle w:val="13"/>
        <w:rPr>
          <w:rFonts w:hint="default" w:ascii="宋体" w:hAnsi="宋体" w:eastAsia="宋体" w:cs="Times New Roman"/>
          <w:sz w:val="24"/>
        </w:rPr>
      </w:pPr>
    </w:p>
    <w:p>
      <w:pPr>
        <w:pStyle w:val="13"/>
        <w:rPr>
          <w:rFonts w:hint="default" w:ascii="宋体" w:hAnsi="宋体" w:eastAsia="宋体" w:cs="Times New Roman"/>
          <w:sz w:val="24"/>
        </w:rPr>
      </w:pPr>
    </w:p>
    <w:p>
      <w:pPr>
        <w:pStyle w:val="2"/>
        <w:spacing w:before="143"/>
        <w:ind w:left="0"/>
        <w:rPr>
          <w:b/>
          <w:bCs/>
        </w:rPr>
      </w:pPr>
      <w:r>
        <w:rPr>
          <w:b/>
          <w:bCs/>
        </w:rPr>
        <w:t>一、责任聚焦</w:t>
      </w:r>
      <w:bookmarkEnd w:id="2"/>
    </w:p>
    <w:p>
      <w:pPr>
        <w:pStyle w:val="4"/>
        <w:spacing w:before="6"/>
        <w:ind w:left="0"/>
        <w:rPr>
          <w:sz w:val="22"/>
        </w:rPr>
      </w:pP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76" w:firstLineChars="200"/>
        <w:textAlignment w:val="auto"/>
      </w:pPr>
      <w:r>
        <w:rPr>
          <w:spacing w:val="-1"/>
        </w:rPr>
        <w:t>一个企业最大的社会责任，就是要让公司健康发展，为社会创造更多价值。</w:t>
      </w:r>
      <w:r>
        <w:rPr>
          <w:spacing w:val="-6"/>
        </w:rPr>
        <w:t>一家成功的公司会解决就业、缴税、员工福利、环境保护等问题，同时为政府纳税，政府税收又会通过多种方式完成相应的社会责任。</w:t>
      </w:r>
    </w:p>
    <w:p>
      <w:pPr>
        <w:pStyle w:val="15"/>
        <w:keepNext w:val="0"/>
        <w:keepLines w:val="0"/>
        <w:pageBreakBefore w:val="0"/>
        <w:widowControl w:val="0"/>
        <w:numPr>
          <w:ilvl w:val="0"/>
          <w:numId w:val="0"/>
        </w:numPr>
        <w:tabs>
          <w:tab w:val="left" w:pos="600"/>
        </w:tabs>
        <w:kinsoku/>
        <w:wordWrap/>
        <w:overflowPunct/>
        <w:topLinePunct w:val="0"/>
        <w:autoSpaceDE w:val="0"/>
        <w:autoSpaceDN w:val="0"/>
        <w:bidi w:val="0"/>
        <w:adjustRightInd/>
        <w:snapToGrid/>
        <w:spacing w:before="0" w:line="360" w:lineRule="auto"/>
        <w:ind w:leftChars="200" w:right="0" w:rightChars="0"/>
        <w:textAlignment w:val="auto"/>
        <w:rPr>
          <w:sz w:val="24"/>
        </w:rPr>
      </w:pPr>
      <w:r>
        <w:rPr>
          <w:rFonts w:hint="eastAsia"/>
          <w:sz w:val="24"/>
          <w:lang w:val="en-US" w:eastAsia="zh-CN"/>
        </w:rPr>
        <w:t xml:space="preserve">1.1 </w:t>
      </w:r>
      <w:r>
        <w:rPr>
          <w:sz w:val="24"/>
        </w:rPr>
        <w:t>社会责任观</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44" w:firstLineChars="200"/>
        <w:jc w:val="both"/>
        <w:textAlignment w:val="auto"/>
        <w:rPr>
          <w:rFonts w:ascii="宋体" w:hAnsi="宋体" w:eastAsia="宋体" w:cs="宋体"/>
          <w:spacing w:val="-5"/>
        </w:rPr>
      </w:pPr>
      <w:r>
        <w:rPr>
          <w:spacing w:val="-9"/>
        </w:rPr>
        <w:t>随着全球化经济的不断发展，可持续发展的理念已经成为许多国际型企业发展战略的核心。支持社会公益事业，倡导社会环境的可持续发展，做负社会责任</w:t>
      </w:r>
      <w:r>
        <w:rPr>
          <w:spacing w:val="-10"/>
        </w:rPr>
        <w:t>的企业公民，已成为企业公共关系的重要主题。在企业发展的过程中，我们逐渐认识到，公共关系策略不再是简单地运用产品进行促销，基于传统营销传播观念</w:t>
      </w:r>
      <w:r>
        <w:rPr>
          <w:spacing w:val="-5"/>
        </w:rPr>
        <w:t>的公共关系已经远远不能适应时代潮流</w:t>
      </w:r>
      <w:r>
        <w:rPr>
          <w:rFonts w:ascii="宋体" w:hAnsi="宋体" w:eastAsia="宋体" w:cs="宋体"/>
          <w:spacing w:val="-5"/>
        </w:rPr>
        <w:t>以及公众对环保的需要，取而代之的应该是企业对社会责任的承诺与行动，它们不但应该融入企业的发展战略，而且应成为公共关系传播的出发点和着眼点。于是我们始终把</w:t>
      </w:r>
      <w:r>
        <w:rPr>
          <w:rFonts w:hint="eastAsia" w:ascii="宋体" w:hAnsi="宋体" w:eastAsia="宋体" w:cs="宋体"/>
          <w:spacing w:val="-5"/>
          <w:lang w:val="en-US" w:eastAsia="zh-CN"/>
        </w:rPr>
        <w:t>客户的需求就是我们不懈的努力</w:t>
      </w:r>
      <w:r>
        <w:rPr>
          <w:rFonts w:ascii="宋体" w:hAnsi="宋体" w:eastAsia="宋体" w:cs="宋体"/>
          <w:spacing w:val="-5"/>
        </w:rPr>
        <w:t>视为企业经营的长远战略，视为企业发展战略的精髓，视为企业文化的核心基石。</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52" w:firstLineChars="200"/>
        <w:textAlignment w:val="auto"/>
        <w:rPr>
          <w:spacing w:val="-7"/>
        </w:rPr>
      </w:pPr>
      <w:r>
        <w:rPr>
          <w:spacing w:val="-7"/>
        </w:rPr>
        <w:t>企业社会责任不是口号，我们创立之初就确定我们是一个价值观公司，没有历史，社会责任是无根的；没有对未来的承诺，社会责任是短命的。多年来，公司坚持以“</w:t>
      </w:r>
      <w:r>
        <w:rPr>
          <w:rFonts w:hint="eastAsia"/>
          <w:spacing w:val="-7"/>
          <w:lang w:val="en-US" w:eastAsia="zh-CN"/>
        </w:rPr>
        <w:t>客户的需求就是我们不懈的努力</w:t>
      </w:r>
      <w:r>
        <w:rPr>
          <w:spacing w:val="-7"/>
        </w:rPr>
        <w:t>”作为企业使命，以“</w:t>
      </w:r>
      <w:r>
        <w:rPr>
          <w:rFonts w:hint="eastAsia"/>
          <w:spacing w:val="-7"/>
          <w:lang w:val="en-US" w:eastAsia="zh-CN"/>
        </w:rPr>
        <w:t>诚信立足，创新致远</w:t>
      </w:r>
      <w:r>
        <w:rPr>
          <w:spacing w:val="-7"/>
        </w:rPr>
        <w:t>”作为公司</w:t>
      </w:r>
      <w:r>
        <w:rPr>
          <w:rFonts w:hint="eastAsia"/>
          <w:spacing w:val="-7"/>
          <w:lang w:val="en-US"/>
        </w:rPr>
        <w:t>愿景</w:t>
      </w:r>
      <w:r>
        <w:rPr>
          <w:spacing w:val="-7"/>
        </w:rPr>
        <w:t>，以“</w:t>
      </w:r>
      <w:r>
        <w:rPr>
          <w:rFonts w:hint="eastAsia"/>
          <w:highlight w:val="none"/>
          <w:lang w:val="en-US" w:eastAsia="zh-CN"/>
        </w:rPr>
        <w:t>诚信、创新、业绩、和谐</w:t>
      </w:r>
      <w:r>
        <w:rPr>
          <w:spacing w:val="-7"/>
        </w:rPr>
        <w:t>”为</w:t>
      </w:r>
      <w:r>
        <w:rPr>
          <w:rFonts w:hint="eastAsia"/>
          <w:spacing w:val="-7"/>
          <w:lang w:val="en-US"/>
        </w:rPr>
        <w:t>公司核心价值观</w:t>
      </w:r>
      <w:r>
        <w:rPr>
          <w:spacing w:val="-7"/>
        </w:rPr>
        <w:t>，在履行企业社会责任中做了大量工作。</w:t>
      </w:r>
    </w:p>
    <w:p>
      <w:pPr>
        <w:pStyle w:val="15"/>
        <w:numPr>
          <w:ilvl w:val="1"/>
          <w:numId w:val="2"/>
        </w:numPr>
        <w:tabs>
          <w:tab w:val="left" w:pos="600"/>
        </w:tabs>
        <w:spacing w:line="360" w:lineRule="auto"/>
        <w:ind w:hanging="481"/>
        <w:rPr>
          <w:sz w:val="24"/>
        </w:rPr>
      </w:pPr>
      <w:r>
        <w:rPr>
          <w:sz w:val="24"/>
        </w:rPr>
        <w:t>利益相关方</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pPr>
      <w:r>
        <mc:AlternateContent>
          <mc:Choice Requires="wps">
            <w:drawing>
              <wp:anchor distT="0" distB="0" distL="114300" distR="114300" simplePos="0" relativeHeight="251659264" behindDoc="0" locked="0" layoutInCell="1" allowOverlap="1">
                <wp:simplePos x="0" y="0"/>
                <wp:positionH relativeFrom="page">
                  <wp:posOffset>1132205</wp:posOffset>
                </wp:positionH>
                <wp:positionV relativeFrom="paragraph">
                  <wp:posOffset>965200</wp:posOffset>
                </wp:positionV>
                <wp:extent cx="5443855" cy="1575435"/>
                <wp:effectExtent l="0" t="0" r="0" b="0"/>
                <wp:wrapNone/>
                <wp:docPr id="1" name="文本框 2"/>
                <wp:cNvGraphicFramePr/>
                <a:graphic xmlns:a="http://schemas.openxmlformats.org/drawingml/2006/main">
                  <a:graphicData uri="http://schemas.microsoft.com/office/word/2010/wordprocessingShape">
                    <wps:wsp>
                      <wps:cNvSpPr txBox="1"/>
                      <wps:spPr>
                        <a:xfrm>
                          <a:off x="0" y="0"/>
                          <a:ext cx="5443855" cy="1575435"/>
                        </a:xfrm>
                        <a:prstGeom prst="rect">
                          <a:avLst/>
                        </a:prstGeom>
                        <a:noFill/>
                        <a:ln>
                          <a:noFill/>
                        </a:ln>
                      </wps:spPr>
                      <wps:txbx>
                        <w:txbxContent>
                          <w:tbl>
                            <w:tblPr>
                              <w:tblStyle w:val="10"/>
                              <w:tblW w:w="837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0"/>
                              <w:gridCol w:w="63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980" w:type="dxa"/>
                                  <w:shd w:val="clear" w:color="auto" w:fill="548DD4" w:themeFill="text2" w:themeFillTint="99"/>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b/>
                                      <w:bCs/>
                                      <w:sz w:val="21"/>
                                      <w:szCs w:val="21"/>
                                    </w:rPr>
                                  </w:pPr>
                                  <w:r>
                                    <w:rPr>
                                      <w:b/>
                                      <w:bCs/>
                                      <w:sz w:val="21"/>
                                      <w:szCs w:val="21"/>
                                    </w:rPr>
                                    <w:t>利益相关方</w:t>
                                  </w:r>
                                </w:p>
                              </w:tc>
                              <w:tc>
                                <w:tcPr>
                                  <w:tcW w:w="6396" w:type="dxa"/>
                                  <w:shd w:val="clear" w:color="auto" w:fill="548DD4" w:themeFill="text2" w:themeFillTint="99"/>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b/>
                                      <w:bCs/>
                                      <w:sz w:val="21"/>
                                      <w:szCs w:val="21"/>
                                    </w:rPr>
                                  </w:pPr>
                                  <w:r>
                                    <w:rPr>
                                      <w:b/>
                                      <w:bCs/>
                                      <w:sz w:val="21"/>
                                      <w:szCs w:val="21"/>
                                    </w:rPr>
                                    <w:t>责任与举措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980"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b/>
                                      <w:bCs/>
                                      <w:sz w:val="21"/>
                                      <w:szCs w:val="21"/>
                                    </w:rPr>
                                  </w:pPr>
                                  <w:r>
                                    <w:rPr>
                                      <w:b/>
                                      <w:bCs/>
                                      <w:sz w:val="21"/>
                                      <w:szCs w:val="21"/>
                                    </w:rPr>
                                    <w:t>投资者</w:t>
                                  </w:r>
                                </w:p>
                              </w:tc>
                              <w:tc>
                                <w:tcPr>
                                  <w:tcW w:w="6396"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z w:val="21"/>
                                      <w:szCs w:val="21"/>
                                    </w:rPr>
                                  </w:pPr>
                                  <w:r>
                                    <w:rPr>
                                      <w:sz w:val="21"/>
                                      <w:szCs w:val="21"/>
                                    </w:rPr>
                                    <w:t>准确及时披露经营状况和重大事项信息，提供合理投资回报遵循责任经营和责任投资的基本原则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980"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ascii="宋体" w:hAnsi="宋体" w:eastAsia="宋体" w:cs="宋体"/>
                                      <w:b/>
                                      <w:bCs/>
                                      <w:sz w:val="21"/>
                                      <w:szCs w:val="21"/>
                                      <w:lang w:val="zh-CN" w:eastAsia="zh-CN" w:bidi="zh-CN"/>
                                    </w:rPr>
                                  </w:pPr>
                                  <w:r>
                                    <w:rPr>
                                      <w:b/>
                                      <w:bCs/>
                                      <w:sz w:val="21"/>
                                      <w:szCs w:val="21"/>
                                    </w:rPr>
                                    <w:t>客 户</w:t>
                                  </w:r>
                                </w:p>
                              </w:tc>
                              <w:tc>
                                <w:tcPr>
                                  <w:tcW w:w="6396"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both"/>
                                    <w:textAlignment w:val="auto"/>
                                    <w:rPr>
                                      <w:rFonts w:ascii="宋体" w:hAnsi="宋体" w:eastAsia="宋体" w:cs="宋体"/>
                                      <w:sz w:val="21"/>
                                      <w:szCs w:val="21"/>
                                      <w:lang w:val="zh-CN" w:eastAsia="zh-CN" w:bidi="zh-CN"/>
                                    </w:rPr>
                                  </w:pPr>
                                  <w:r>
                                    <w:rPr>
                                      <w:sz w:val="21"/>
                                      <w:szCs w:val="21"/>
                                    </w:rPr>
                                    <w:t>提供优质的产品和服务；产品具有安全性和便利性；持续提升客户满意度；及时合规的信息沟通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980"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ascii="宋体" w:hAnsi="宋体" w:eastAsia="宋体" w:cs="宋体"/>
                                      <w:b/>
                                      <w:bCs/>
                                      <w:sz w:val="21"/>
                                      <w:szCs w:val="21"/>
                                      <w:lang w:val="zh-CN" w:eastAsia="zh-CN" w:bidi="zh-CN"/>
                                    </w:rPr>
                                  </w:pPr>
                                  <w:r>
                                    <w:rPr>
                                      <w:b/>
                                      <w:bCs/>
                                      <w:sz w:val="21"/>
                                      <w:szCs w:val="21"/>
                                    </w:rPr>
                                    <w:t>员 工</w:t>
                                  </w:r>
                                </w:p>
                              </w:tc>
                              <w:tc>
                                <w:tcPr>
                                  <w:tcW w:w="6396"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both"/>
                                    <w:textAlignment w:val="auto"/>
                                    <w:rPr>
                                      <w:rFonts w:ascii="宋体" w:hAnsi="宋体" w:eastAsia="宋体" w:cs="宋体"/>
                                      <w:sz w:val="21"/>
                                      <w:szCs w:val="21"/>
                                      <w:lang w:val="zh-CN" w:eastAsia="zh-CN" w:bidi="zh-CN"/>
                                    </w:rPr>
                                  </w:pPr>
                                  <w:r>
                                    <w:rPr>
                                      <w:sz w:val="21"/>
                                      <w:szCs w:val="21"/>
                                    </w:rPr>
                                    <w:t>维护员工合法权益；创造良好的工作环境；给予合理的待遇提供教育和培训，为员工创造发展空间</w:t>
                                  </w:r>
                                </w:p>
                              </w:tc>
                            </w:tr>
                          </w:tbl>
                          <w:p>
                            <w:pPr>
                              <w:pStyle w:val="4"/>
                              <w:ind w:left="0"/>
                              <w:rPr>
                                <w:highlight w:val="yellow"/>
                              </w:rPr>
                            </w:pPr>
                          </w:p>
                        </w:txbxContent>
                      </wps:txbx>
                      <wps:bodyPr lIns="0" tIns="0" rIns="0" bIns="0" upright="1"/>
                    </wps:wsp>
                  </a:graphicData>
                </a:graphic>
              </wp:anchor>
            </w:drawing>
          </mc:Choice>
          <mc:Fallback>
            <w:pict>
              <v:shape id="文本框 2" o:spid="_x0000_s1026" o:spt="202" type="#_x0000_t202" style="position:absolute;left:0pt;margin-left:89.15pt;margin-top:76pt;height:124.05pt;width:428.65pt;mso-position-horizontal-relative:page;z-index:251659264;mso-width-relative:page;mso-height-relative:page;" filled="f" stroked="f" coordsize="21600,21600" o:gfxdata="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0q74O2QAAAAwBAAAPAAAAAAAAAAEAIAAAACIAAABkcnMvZG93bnJldi54bWxQ&#10;SwECFAAUAAAACACHTuJAKKhbm70BAABzAwAADgAAAAAAAAABACAAAAAoAQAAZHJzL2Uyb0RvYy54&#10;bWxQSwUGAAAAAAYABgBZAQAAVwUAAAAA&#10;">
                <v:fill on="f" focussize="0,0"/>
                <v:stroke on="f"/>
                <v:imagedata o:title=""/>
                <o:lock v:ext="edit" aspectratio="f"/>
                <v:textbox inset="0mm,0mm,0mm,0mm">
                  <w:txbxContent>
                    <w:tbl>
                      <w:tblPr>
                        <w:tblStyle w:val="10"/>
                        <w:tblW w:w="837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0"/>
                        <w:gridCol w:w="63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980" w:type="dxa"/>
                            <w:shd w:val="clear" w:color="auto" w:fill="548DD4" w:themeFill="text2" w:themeFillTint="99"/>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b/>
                                <w:bCs/>
                                <w:sz w:val="21"/>
                                <w:szCs w:val="21"/>
                              </w:rPr>
                            </w:pPr>
                            <w:r>
                              <w:rPr>
                                <w:b/>
                                <w:bCs/>
                                <w:sz w:val="21"/>
                                <w:szCs w:val="21"/>
                              </w:rPr>
                              <w:t>利益相关方</w:t>
                            </w:r>
                          </w:p>
                        </w:tc>
                        <w:tc>
                          <w:tcPr>
                            <w:tcW w:w="6396" w:type="dxa"/>
                            <w:shd w:val="clear" w:color="auto" w:fill="548DD4" w:themeFill="text2" w:themeFillTint="99"/>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b/>
                                <w:bCs/>
                                <w:sz w:val="21"/>
                                <w:szCs w:val="21"/>
                              </w:rPr>
                            </w:pPr>
                            <w:r>
                              <w:rPr>
                                <w:b/>
                                <w:bCs/>
                                <w:sz w:val="21"/>
                                <w:szCs w:val="21"/>
                              </w:rPr>
                              <w:t>责任与举措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980"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b/>
                                <w:bCs/>
                                <w:sz w:val="21"/>
                                <w:szCs w:val="21"/>
                              </w:rPr>
                            </w:pPr>
                            <w:r>
                              <w:rPr>
                                <w:b/>
                                <w:bCs/>
                                <w:sz w:val="21"/>
                                <w:szCs w:val="21"/>
                              </w:rPr>
                              <w:t>投资者</w:t>
                            </w:r>
                          </w:p>
                        </w:tc>
                        <w:tc>
                          <w:tcPr>
                            <w:tcW w:w="6396"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z w:val="21"/>
                                <w:szCs w:val="21"/>
                              </w:rPr>
                            </w:pPr>
                            <w:r>
                              <w:rPr>
                                <w:sz w:val="21"/>
                                <w:szCs w:val="21"/>
                              </w:rPr>
                              <w:t>准确及时披露经营状况和重大事项信息，提供合理投资回报遵循责任经营和责任投资的基本原则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980"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ascii="宋体" w:hAnsi="宋体" w:eastAsia="宋体" w:cs="宋体"/>
                                <w:b/>
                                <w:bCs/>
                                <w:sz w:val="21"/>
                                <w:szCs w:val="21"/>
                                <w:lang w:val="zh-CN" w:eastAsia="zh-CN" w:bidi="zh-CN"/>
                              </w:rPr>
                            </w:pPr>
                            <w:r>
                              <w:rPr>
                                <w:b/>
                                <w:bCs/>
                                <w:sz w:val="21"/>
                                <w:szCs w:val="21"/>
                              </w:rPr>
                              <w:t>客 户</w:t>
                            </w:r>
                          </w:p>
                        </w:tc>
                        <w:tc>
                          <w:tcPr>
                            <w:tcW w:w="6396"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both"/>
                              <w:textAlignment w:val="auto"/>
                              <w:rPr>
                                <w:rFonts w:ascii="宋体" w:hAnsi="宋体" w:eastAsia="宋体" w:cs="宋体"/>
                                <w:sz w:val="21"/>
                                <w:szCs w:val="21"/>
                                <w:lang w:val="zh-CN" w:eastAsia="zh-CN" w:bidi="zh-CN"/>
                              </w:rPr>
                            </w:pPr>
                            <w:r>
                              <w:rPr>
                                <w:sz w:val="21"/>
                                <w:szCs w:val="21"/>
                              </w:rPr>
                              <w:t>提供优质的产品和服务；产品具有安全性和便利性；持续提升客户满意度；及时合规的信息沟通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980"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center"/>
                              <w:textAlignment w:val="auto"/>
                              <w:rPr>
                                <w:rFonts w:ascii="宋体" w:hAnsi="宋体" w:eastAsia="宋体" w:cs="宋体"/>
                                <w:b/>
                                <w:bCs/>
                                <w:sz w:val="21"/>
                                <w:szCs w:val="21"/>
                                <w:lang w:val="zh-CN" w:eastAsia="zh-CN" w:bidi="zh-CN"/>
                              </w:rPr>
                            </w:pPr>
                            <w:r>
                              <w:rPr>
                                <w:b/>
                                <w:bCs/>
                                <w:sz w:val="21"/>
                                <w:szCs w:val="21"/>
                              </w:rPr>
                              <w:t>员 工</w:t>
                            </w:r>
                          </w:p>
                        </w:tc>
                        <w:tc>
                          <w:tcPr>
                            <w:tcW w:w="6396"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both"/>
                              <w:textAlignment w:val="auto"/>
                              <w:rPr>
                                <w:rFonts w:ascii="宋体" w:hAnsi="宋体" w:eastAsia="宋体" w:cs="宋体"/>
                                <w:sz w:val="21"/>
                                <w:szCs w:val="21"/>
                                <w:lang w:val="zh-CN" w:eastAsia="zh-CN" w:bidi="zh-CN"/>
                              </w:rPr>
                            </w:pPr>
                            <w:r>
                              <w:rPr>
                                <w:sz w:val="21"/>
                                <w:szCs w:val="21"/>
                              </w:rPr>
                              <w:t>维护员工合法权益；创造良好的工作环境；给予合理的待遇提供教育和培训，为员工创造发展空间</w:t>
                            </w:r>
                          </w:p>
                        </w:tc>
                      </w:tr>
                    </w:tbl>
                    <w:p>
                      <w:pPr>
                        <w:pStyle w:val="4"/>
                        <w:ind w:left="0"/>
                        <w:rPr>
                          <w:highlight w:val="yellow"/>
                        </w:rPr>
                      </w:pPr>
                    </w:p>
                  </w:txbxContent>
                </v:textbox>
              </v:shape>
            </w:pict>
          </mc:Fallback>
        </mc:AlternateContent>
      </w:r>
      <w:r>
        <w:t>企业所有的利益相关者的利益都是通过企业共同愿景的实现来达成的。没有共同的愿景，缺乏共同的信念，就没有利益相关的前提。所以,认同共同的企业愿景和价值观，是建设和完善企业与利益方关系管理体系的前提和基础。</w:t>
      </w:r>
    </w:p>
    <w:p>
      <w:pPr>
        <w:spacing w:line="386" w:lineRule="auto"/>
        <w:jc w:val="both"/>
        <w:sectPr>
          <w:footerReference r:id="rId7" w:type="default"/>
          <w:pgSz w:w="11910" w:h="16840"/>
          <w:pgMar w:top="1420" w:right="1440" w:bottom="1380" w:left="1680" w:header="877" w:footer="1197" w:gutter="0"/>
          <w:pgBorders>
            <w:top w:val="none" w:sz="0" w:space="0"/>
            <w:left w:val="none" w:sz="0" w:space="0"/>
            <w:bottom w:val="none" w:sz="0" w:space="0"/>
            <w:right w:val="none" w:sz="0" w:space="0"/>
          </w:pgBorders>
          <w:pgNumType w:start="1"/>
          <w:cols w:space="720" w:num="1"/>
        </w:sectPr>
      </w:pPr>
    </w:p>
    <w:tbl>
      <w:tblPr>
        <w:tblStyle w:val="10"/>
        <w:tblW w:w="8376"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0"/>
        <w:gridCol w:w="63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980"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b/>
                <w:bCs/>
                <w:sz w:val="21"/>
                <w:szCs w:val="21"/>
              </w:rPr>
            </w:pPr>
            <w:r>
              <w:rPr>
                <w:b/>
                <w:bCs/>
                <w:sz w:val="21"/>
                <w:szCs w:val="21"/>
              </w:rPr>
              <w:t>合作伙伴</w:t>
            </w:r>
          </w:p>
        </w:tc>
        <w:tc>
          <w:tcPr>
            <w:tcW w:w="6396"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z w:val="21"/>
                <w:szCs w:val="21"/>
              </w:rPr>
            </w:pPr>
            <w:r>
              <w:rPr>
                <w:sz w:val="21"/>
                <w:szCs w:val="21"/>
              </w:rPr>
              <w:t>实行公平采购；协助履行社会责任；建立相互尊重的合作关系；坚持诚实守信，维护企业的信誉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980"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b/>
                <w:bCs/>
                <w:sz w:val="21"/>
                <w:szCs w:val="21"/>
              </w:rPr>
            </w:pPr>
            <w:r>
              <w:rPr>
                <w:b/>
                <w:bCs/>
                <w:sz w:val="21"/>
                <w:szCs w:val="21"/>
              </w:rPr>
              <w:t>政 府</w:t>
            </w:r>
          </w:p>
        </w:tc>
        <w:tc>
          <w:tcPr>
            <w:tcW w:w="6396"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z w:val="21"/>
                <w:szCs w:val="21"/>
              </w:rPr>
            </w:pPr>
            <w:r>
              <w:rPr>
                <w:sz w:val="21"/>
                <w:szCs w:val="21"/>
              </w:rPr>
              <w:t>依法纳税，提供就业机会，带动地方经济发展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980"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b/>
                <w:bCs/>
                <w:sz w:val="21"/>
                <w:szCs w:val="21"/>
              </w:rPr>
            </w:pPr>
            <w:r>
              <w:rPr>
                <w:b/>
                <w:bCs/>
                <w:sz w:val="21"/>
                <w:szCs w:val="21"/>
              </w:rPr>
              <w:t>自然环境</w:t>
            </w:r>
          </w:p>
        </w:tc>
        <w:tc>
          <w:tcPr>
            <w:tcW w:w="6396"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z w:val="21"/>
                <w:szCs w:val="21"/>
              </w:rPr>
            </w:pPr>
            <w:r>
              <w:rPr>
                <w:sz w:val="21"/>
                <w:szCs w:val="21"/>
              </w:rPr>
              <w:t>推行绿色生产，实践环保经营，倡导节能减排，开展水资源保护，改善自然生态系统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980"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center"/>
              <w:textAlignment w:val="auto"/>
              <w:rPr>
                <w:b/>
                <w:bCs/>
                <w:sz w:val="21"/>
                <w:szCs w:val="21"/>
              </w:rPr>
            </w:pPr>
            <w:r>
              <w:rPr>
                <w:b/>
                <w:bCs/>
                <w:sz w:val="21"/>
                <w:szCs w:val="21"/>
              </w:rPr>
              <w:t>社区居民</w:t>
            </w:r>
          </w:p>
        </w:tc>
        <w:tc>
          <w:tcPr>
            <w:tcW w:w="6396" w:type="dxa"/>
            <w:vAlign w:val="center"/>
          </w:tcPr>
          <w:p>
            <w:pPr>
              <w:pStyle w:val="16"/>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z w:val="21"/>
                <w:szCs w:val="21"/>
              </w:rPr>
            </w:pPr>
            <w:r>
              <w:rPr>
                <w:sz w:val="21"/>
                <w:szCs w:val="21"/>
              </w:rPr>
              <w:t>参与社会公益活动，为社会可持续、和谐发展做贡献</w:t>
            </w:r>
          </w:p>
        </w:tc>
      </w:tr>
    </w:tbl>
    <w:p>
      <w:pPr>
        <w:pStyle w:val="4"/>
        <w:spacing w:before="10"/>
        <w:ind w:left="0"/>
        <w:rPr>
          <w:sz w:val="7"/>
        </w:rPr>
      </w:pPr>
    </w:p>
    <w:p>
      <w:pPr>
        <w:pStyle w:val="15"/>
        <w:keepNext w:val="0"/>
        <w:keepLines w:val="0"/>
        <w:pageBreakBefore w:val="0"/>
        <w:widowControl w:val="0"/>
        <w:numPr>
          <w:ilvl w:val="0"/>
          <w:numId w:val="0"/>
        </w:numPr>
        <w:tabs>
          <w:tab w:val="left" w:pos="600"/>
        </w:tabs>
        <w:kinsoku/>
        <w:wordWrap/>
        <w:overflowPunct/>
        <w:topLinePunct w:val="0"/>
        <w:autoSpaceDE w:val="0"/>
        <w:autoSpaceDN w:val="0"/>
        <w:bidi w:val="0"/>
        <w:adjustRightInd/>
        <w:snapToGrid/>
        <w:spacing w:before="0" w:line="360" w:lineRule="auto"/>
        <w:ind w:left="0" w:leftChars="0" w:right="0" w:firstLine="480" w:firstLineChars="200"/>
        <w:jc w:val="both"/>
        <w:textAlignment w:val="auto"/>
        <w:rPr>
          <w:sz w:val="24"/>
        </w:rPr>
      </w:pPr>
      <w:r>
        <w:rPr>
          <w:rFonts w:hint="eastAsia"/>
          <w:sz w:val="24"/>
          <w:lang w:val="en-US" w:eastAsia="zh-CN"/>
        </w:rPr>
        <w:t xml:space="preserve">1.2 </w:t>
      </w:r>
      <w:r>
        <w:rPr>
          <w:sz w:val="24"/>
        </w:rPr>
        <w:t>责任体系</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56" w:firstLineChars="200"/>
        <w:jc w:val="both"/>
        <w:textAlignment w:val="auto"/>
      </w:pPr>
      <w:r>
        <w:rPr>
          <w:spacing w:val="-6"/>
        </w:rPr>
        <w:t>对利益相关者的法律责任，这一责任主要包括企业根据《中华人民共和国公</w:t>
      </w:r>
      <w:r>
        <w:rPr>
          <w:spacing w:val="-13"/>
        </w:rPr>
        <w:t>司法》、 《中华人民共和国合同法》等法律法规，对出资人、债权人、供应商、</w:t>
      </w:r>
      <w:r>
        <w:rPr>
          <w:spacing w:val="-9"/>
        </w:rPr>
        <w:t>合作商、客户、社区及其它社会团体等所有利益相关者必须遵守各类合同，按照</w:t>
      </w:r>
      <w:r>
        <w:rPr>
          <w:spacing w:val="-14"/>
        </w:rPr>
        <w:t>法律规定进行利益分配，为社会提供最基本的产品和服务质量保证，不损害企业所在社区的合法权益，不影响其它社会团体的利益等内容。</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48" w:firstLineChars="200"/>
        <w:jc w:val="both"/>
        <w:textAlignment w:val="auto"/>
      </w:pPr>
      <w:r>
        <w:rPr>
          <w:spacing w:val="-8"/>
        </w:rPr>
        <w:t>对环境的法律责任，这一责任主要包括企业根据《中华人民共和国环境保护</w:t>
      </w:r>
      <w:r>
        <w:rPr>
          <w:spacing w:val="-10"/>
        </w:rPr>
        <w:t>法》等法律法规，在生产经营活动中必须履行资源和能耗的节约标准，必须达到</w:t>
      </w:r>
      <w:r>
        <w:rPr>
          <w:spacing w:val="-16"/>
        </w:rPr>
        <w:t xml:space="preserve">国家强制规定的污染排放标准，对不能达标的项目必须加强技术改造和污染治理， </w:t>
      </w:r>
      <w:r>
        <w:t>努力达到国家规定的各项环保标准等内容。</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44" w:firstLineChars="200"/>
        <w:jc w:val="both"/>
        <w:textAlignment w:val="auto"/>
      </w:pPr>
      <w:r>
        <w:rPr>
          <w:spacing w:val="-9"/>
        </w:rPr>
        <w:t>对员工的法律责任，这一责任主要包括企业根据《中华人民共和国劳动合同</w:t>
      </w:r>
      <w:r>
        <w:rPr>
          <w:spacing w:val="-12"/>
        </w:rPr>
        <w:t>法》等法律法规，必须为员工生产提供安全保障，必须按照国家政策保证员工的</w:t>
      </w:r>
      <w:r>
        <w:rPr>
          <w:spacing w:val="-8"/>
        </w:rPr>
        <w:t>各项福利待遇，必须为员工办理各种国家所规定的生育、失业、养老、疾病等基</w:t>
      </w:r>
      <w:r>
        <w:t>本社会保险等内容。</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44" w:firstLineChars="200"/>
        <w:jc w:val="both"/>
        <w:textAlignment w:val="auto"/>
      </w:pPr>
      <w:r>
        <w:rPr>
          <w:spacing w:val="-9"/>
        </w:rPr>
        <w:t>对社会的法律责任，这一责任主要包括企业根据《中华人民共和国企业所得</w:t>
      </w:r>
      <w:r>
        <w:rPr>
          <w:spacing w:val="-21"/>
        </w:rPr>
        <w:t>税法》、《中华人民共和国增值税暂行条例》等法律法规，必须完成所得税、增值</w:t>
      </w:r>
      <w:r>
        <w:t>税等各种利税上缴等责任。</w:t>
      </w:r>
    </w:p>
    <w:p>
      <w:r>
        <w:br w:type="page"/>
      </w:r>
    </w:p>
    <w:p>
      <w:pPr>
        <w:pStyle w:val="2"/>
        <w:keepNext w:val="0"/>
        <w:keepLines w:val="0"/>
        <w:pageBreakBefore w:val="0"/>
        <w:widowControl w:val="0"/>
        <w:kinsoku/>
        <w:wordWrap/>
        <w:overflowPunct/>
        <w:topLinePunct w:val="0"/>
        <w:autoSpaceDE w:val="0"/>
        <w:autoSpaceDN w:val="0"/>
        <w:bidi w:val="0"/>
        <w:adjustRightInd/>
        <w:snapToGrid/>
        <w:spacing w:line="360" w:lineRule="auto"/>
        <w:ind w:left="0" w:right="0" w:firstLine="562" w:firstLineChars="200"/>
        <w:textAlignment w:val="auto"/>
        <w:rPr>
          <w:b/>
          <w:bCs/>
        </w:rPr>
      </w:pPr>
      <w:bookmarkStart w:id="3" w:name="二、战略与管理"/>
      <w:bookmarkEnd w:id="3"/>
      <w:bookmarkStart w:id="4" w:name="_Toc24531706"/>
      <w:r>
        <w:rPr>
          <w:b/>
          <w:bCs/>
        </w:rPr>
        <w:t>二、战略与管理</w:t>
      </w:r>
      <w:bookmarkEnd w:id="4"/>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pPr>
      <w:r>
        <w:rPr>
          <w:rFonts w:hint="eastAsia"/>
          <w:lang w:val="en-US" w:eastAsia="zh-CN"/>
        </w:rPr>
        <w:t>1、</w:t>
      </w:r>
      <w:r>
        <w:rPr>
          <w:rFonts w:hint="eastAsia"/>
        </w:rPr>
        <w:t>构建独具特色的企业文化并向相关方沟通宣贯</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pPr>
      <w:r>
        <w:rPr>
          <w:rFonts w:hint="eastAsia"/>
        </w:rPr>
        <w:t>企业文化是企业的思维方式和行事准则，是企业个性化的体现。它是植根于企业内部的精神载体，可以促进组织的管理发展，增强企业凝聚力，是一个企业的旗帜、灵魂和方向。从成立之初，随着企业的创立、成长与发展，</w:t>
      </w:r>
      <w:r>
        <w:rPr>
          <w:rFonts w:hint="eastAsia"/>
          <w:lang w:val="en-US" w:eastAsia="zh-CN"/>
        </w:rPr>
        <w:t>雷丰</w:t>
      </w:r>
      <w:r>
        <w:rPr>
          <w:rFonts w:hint="eastAsia"/>
          <w:lang w:val="en-US"/>
        </w:rPr>
        <w:t>已</w:t>
      </w:r>
      <w:r>
        <w:rPr>
          <w:rFonts w:hint="eastAsia"/>
        </w:rPr>
        <w:t>逐步形成了其独具特色的企业文化体系。</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pPr>
      <w:r>
        <w:rPr>
          <w:rFonts w:hint="eastAsia"/>
        </w:rPr>
        <w:t>1）确立以使命、愿景和价值观为和核心的文化</w:t>
      </w:r>
    </w:p>
    <w:p>
      <w:pPr>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textAlignment w:val="auto"/>
        <w:rPr>
          <w:sz w:val="24"/>
          <w:szCs w:val="24"/>
          <w:lang w:val="en-US"/>
        </w:rPr>
      </w:pPr>
      <w:r>
        <w:rPr>
          <w:rFonts w:hint="eastAsia"/>
          <w:sz w:val="24"/>
          <w:szCs w:val="24"/>
          <w:highlight w:val="none"/>
          <w:lang w:val="en-US"/>
        </w:rPr>
        <w:t>通过对市场进行详细调查，于</w:t>
      </w:r>
      <w:r>
        <w:rPr>
          <w:rFonts w:hint="eastAsia"/>
          <w:sz w:val="24"/>
          <w:szCs w:val="24"/>
          <w:highlight w:val="none"/>
          <w:lang w:val="en-US" w:eastAsia="zh-CN"/>
        </w:rPr>
        <w:t>2010</w:t>
      </w:r>
      <w:r>
        <w:rPr>
          <w:rFonts w:hint="eastAsia"/>
          <w:sz w:val="24"/>
          <w:szCs w:val="24"/>
          <w:highlight w:val="none"/>
          <w:lang w:val="en-US"/>
        </w:rPr>
        <w:t>年在</w:t>
      </w:r>
      <w:r>
        <w:rPr>
          <w:rFonts w:hint="eastAsia" w:cs="Times New Roman"/>
          <w:sz w:val="24"/>
          <w:lang w:val="en-US" w:eastAsia="zh-CN"/>
        </w:rPr>
        <w:t>浙江省台州市黄岩新前街道民兴路111号</w:t>
      </w:r>
      <w:r>
        <w:rPr>
          <w:rFonts w:hint="eastAsia"/>
          <w:sz w:val="24"/>
          <w:szCs w:val="24"/>
          <w:highlight w:val="none"/>
          <w:lang w:val="en-US"/>
        </w:rPr>
        <w:t>成立</w:t>
      </w:r>
      <w:r>
        <w:rPr>
          <w:rFonts w:hint="eastAsia"/>
          <w:sz w:val="24"/>
          <w:szCs w:val="24"/>
          <w:highlight w:val="none"/>
          <w:lang w:val="en-US" w:eastAsia="zh-CN"/>
        </w:rPr>
        <w:t>浙江雷丰模具股份有限公司</w:t>
      </w:r>
      <w:r>
        <w:rPr>
          <w:rFonts w:hint="eastAsia"/>
          <w:sz w:val="24"/>
          <w:szCs w:val="24"/>
          <w:highlight w:val="none"/>
          <w:lang w:val="en-US"/>
        </w:rPr>
        <w:t>，专业从事</w:t>
      </w:r>
      <w:r>
        <w:rPr>
          <w:rFonts w:hint="eastAsia"/>
          <w:sz w:val="24"/>
          <w:szCs w:val="24"/>
          <w:highlight w:val="none"/>
          <w:lang w:val="en-US" w:eastAsia="zh-CN"/>
        </w:rPr>
        <w:t>模具、塑料制品、塑料加工高品质产品研发、</w:t>
      </w:r>
      <w:r>
        <w:rPr>
          <w:rFonts w:hint="eastAsia"/>
          <w:sz w:val="24"/>
          <w:szCs w:val="24"/>
          <w:highlight w:val="none"/>
          <w:lang w:val="en-US"/>
        </w:rPr>
        <w:t>生产和销售一体化经营管理活动。公司通过质量管理体系</w:t>
      </w:r>
      <w:r>
        <w:rPr>
          <w:rFonts w:hint="eastAsia"/>
          <w:sz w:val="24"/>
          <w:szCs w:val="24"/>
          <w:highlight w:val="none"/>
          <w:lang w:val="en-US" w:eastAsia="zh-CN"/>
        </w:rPr>
        <w:t>，导入</w:t>
      </w:r>
      <w:r>
        <w:rPr>
          <w:rFonts w:hint="eastAsia"/>
          <w:sz w:val="24"/>
          <w:szCs w:val="24"/>
          <w:highlight w:val="none"/>
          <w:lang w:val="en-US"/>
        </w:rPr>
        <w:t>环境管理体系和职业健康安全管理体系认证，一直保持体系运行，每年接受认证机构的监督审核；经过多年的体系运行，在内部管理方面日益提高。</w:t>
      </w:r>
    </w:p>
    <w:p>
      <w:pPr>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textAlignment w:val="auto"/>
        <w:rPr>
          <w:sz w:val="24"/>
          <w:szCs w:val="24"/>
          <w:lang w:val="en-US"/>
        </w:rPr>
      </w:pPr>
      <w:r>
        <w:rPr>
          <w:rFonts w:hint="eastAsia"/>
          <w:sz w:val="24"/>
          <w:szCs w:val="24"/>
          <w:lang w:val="en-US"/>
        </w:rPr>
        <w:t>公司经过多年的运营，积累了较多的管理经验，培养了一批专业的管理人员、设计人员和操作能手，产品质量稳定，在顾客群中有较高的认可度。</w:t>
      </w:r>
    </w:p>
    <w:p>
      <w:pPr>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textAlignment w:val="auto"/>
        <w:rPr>
          <w:rFonts w:hint="eastAsia"/>
          <w:sz w:val="24"/>
          <w:szCs w:val="24"/>
          <w:lang w:val="en-US"/>
        </w:rPr>
      </w:pPr>
      <w:r>
        <w:rPr>
          <w:rFonts w:hint="eastAsia"/>
          <w:sz w:val="24"/>
          <w:szCs w:val="24"/>
          <w:lang w:val="en-US" w:eastAsia="zh-CN"/>
        </w:rPr>
        <w:t>雷丰</w:t>
      </w:r>
      <w:r>
        <w:rPr>
          <w:rFonts w:hint="eastAsia"/>
          <w:sz w:val="24"/>
          <w:szCs w:val="24"/>
          <w:lang w:val="en-US"/>
        </w:rPr>
        <w:t>自创立以来，基于行业特点及企业发展逐步凝练了核心价值观，并随着公司的发展而不断调整和提升，最终提炼形成了公司的核心价值理念体系。</w:t>
      </w:r>
    </w:p>
    <w:p>
      <w:pPr>
        <w:pStyle w:val="4"/>
        <w:spacing w:before="166" w:line="386" w:lineRule="auto"/>
        <w:ind w:right="359" w:firstLine="480"/>
        <w:jc w:val="center"/>
        <w:rPr>
          <w:rFonts w:hint="eastAsia"/>
          <w:sz w:val="21"/>
          <w:szCs w:val="21"/>
          <w:lang w:val="en-US"/>
        </w:rPr>
      </w:pPr>
      <w:r>
        <w:rPr>
          <w:rFonts w:hint="eastAsia"/>
          <w:sz w:val="21"/>
          <w:szCs w:val="21"/>
        </w:rPr>
        <w:t>表</w:t>
      </w:r>
      <w:r>
        <w:rPr>
          <w:rFonts w:hint="eastAsia"/>
          <w:sz w:val="21"/>
          <w:szCs w:val="21"/>
          <w:lang w:val="en-US"/>
        </w:rPr>
        <w:t>2</w:t>
      </w:r>
      <w:r>
        <w:rPr>
          <w:rFonts w:hint="eastAsia"/>
          <w:sz w:val="21"/>
          <w:szCs w:val="21"/>
        </w:rPr>
        <w:t>.1-</w:t>
      </w:r>
      <w:r>
        <w:rPr>
          <w:rFonts w:hint="eastAsia"/>
          <w:sz w:val="21"/>
          <w:szCs w:val="21"/>
          <w:lang w:val="en-US"/>
        </w:rPr>
        <w:t>1</w:t>
      </w:r>
      <w:r>
        <w:rPr>
          <w:rFonts w:hint="eastAsia"/>
          <w:sz w:val="21"/>
          <w:szCs w:val="21"/>
        </w:rPr>
        <w:t xml:space="preserve"> 企业文化体系</w:t>
      </w:r>
    </w:p>
    <w:tbl>
      <w:tblPr>
        <w:tblStyle w:val="10"/>
        <w:tblW w:w="8906"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8"/>
        <w:gridCol w:w="7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698" w:type="dxa"/>
            <w:shd w:val="clear" w:color="auto" w:fill="4472C4"/>
            <w:vAlign w:val="center"/>
          </w:tcPr>
          <w:p>
            <w:pPr>
              <w:jc w:val="center"/>
              <w:rPr>
                <w:rFonts w:ascii="Arial" w:hAnsi="Arial"/>
                <w:b/>
                <w:bCs/>
                <w:color w:val="000000"/>
                <w:sz w:val="21"/>
                <w:szCs w:val="21"/>
              </w:rPr>
            </w:pPr>
            <w:r>
              <w:rPr>
                <w:rFonts w:hint="eastAsia" w:ascii="Arial" w:hAnsi="Arial"/>
                <w:b/>
                <w:bCs/>
                <w:color w:val="000000"/>
                <w:sz w:val="21"/>
                <w:szCs w:val="21"/>
              </w:rPr>
              <w:t>文化构成</w:t>
            </w:r>
          </w:p>
        </w:tc>
        <w:tc>
          <w:tcPr>
            <w:tcW w:w="7208" w:type="dxa"/>
            <w:shd w:val="clear" w:color="auto" w:fill="4472C4"/>
            <w:vAlign w:val="center"/>
          </w:tcPr>
          <w:p>
            <w:pPr>
              <w:jc w:val="center"/>
              <w:rPr>
                <w:rFonts w:ascii="Arial" w:hAnsi="Arial"/>
                <w:b/>
                <w:bCs/>
                <w:color w:val="000000"/>
                <w:sz w:val="21"/>
                <w:szCs w:val="21"/>
              </w:rPr>
            </w:pPr>
            <w:r>
              <w:rPr>
                <w:rFonts w:hint="eastAsia" w:ascii="Arial" w:hAnsi="Arial"/>
                <w:b/>
                <w:bCs/>
                <w:color w:val="000000"/>
                <w:sz w:val="21"/>
                <w:szCs w:val="21"/>
              </w:rPr>
              <w:t>表述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698" w:type="dxa"/>
            <w:shd w:val="clear" w:color="auto" w:fill="auto"/>
            <w:vAlign w:val="center"/>
          </w:tcPr>
          <w:p>
            <w:pPr>
              <w:jc w:val="center"/>
              <w:rPr>
                <w:rFonts w:ascii="Arial" w:hAnsi="Arial"/>
                <w:b/>
                <w:bCs/>
                <w:color w:val="000000"/>
                <w:sz w:val="21"/>
                <w:szCs w:val="21"/>
              </w:rPr>
            </w:pPr>
            <w:r>
              <w:rPr>
                <w:rFonts w:hint="eastAsia" w:ascii="Arial" w:hAnsi="Arial"/>
                <w:b/>
                <w:bCs/>
                <w:color w:val="000000"/>
                <w:sz w:val="21"/>
                <w:szCs w:val="21"/>
              </w:rPr>
              <w:t>使命</w:t>
            </w:r>
          </w:p>
        </w:tc>
        <w:tc>
          <w:tcPr>
            <w:tcW w:w="7208" w:type="dxa"/>
            <w:shd w:val="clear" w:color="auto" w:fill="auto"/>
            <w:vAlign w:val="center"/>
          </w:tcPr>
          <w:p>
            <w:pPr>
              <w:widowControl/>
              <w:spacing w:line="240" w:lineRule="auto"/>
              <w:jc w:val="center"/>
              <w:rPr>
                <w:rFonts w:hint="default" w:cs="宋体" w:asciiTheme="minorEastAsia" w:hAnsiTheme="minorEastAsia" w:eastAsiaTheme="minorEastAsia"/>
                <w:b w:val="0"/>
                <w:bCs w:val="0"/>
                <w:kern w:val="2"/>
                <w:sz w:val="21"/>
                <w:szCs w:val="21"/>
                <w:lang w:val="en-US" w:eastAsia="zh-CN" w:bidi="ar-SA"/>
              </w:rPr>
            </w:pPr>
            <w:r>
              <w:rPr>
                <w:rFonts w:hint="eastAsia" w:cs="宋体" w:asciiTheme="minorEastAsia" w:hAnsiTheme="minorEastAsia" w:eastAsiaTheme="minorEastAsia"/>
                <w:b w:val="0"/>
                <w:bCs w:val="0"/>
                <w:kern w:val="2"/>
                <w:sz w:val="21"/>
                <w:szCs w:val="21"/>
                <w:lang w:val="en-US" w:eastAsia="zh-CN" w:bidi="ar-SA"/>
              </w:rPr>
              <w:t>客户的需求就是我们不懈的努力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698" w:type="dxa"/>
            <w:shd w:val="clear" w:color="auto" w:fill="auto"/>
            <w:vAlign w:val="center"/>
          </w:tcPr>
          <w:p>
            <w:pPr>
              <w:jc w:val="center"/>
              <w:rPr>
                <w:rFonts w:ascii="Arial" w:hAnsi="Arial"/>
                <w:b/>
                <w:bCs/>
                <w:color w:val="000000"/>
                <w:sz w:val="21"/>
                <w:szCs w:val="21"/>
              </w:rPr>
            </w:pPr>
            <w:r>
              <w:rPr>
                <w:rFonts w:hint="eastAsia" w:ascii="Arial" w:hAnsi="Arial"/>
                <w:b/>
                <w:bCs/>
                <w:color w:val="000000"/>
                <w:sz w:val="21"/>
                <w:szCs w:val="21"/>
              </w:rPr>
              <w:t>愿景</w:t>
            </w:r>
          </w:p>
        </w:tc>
        <w:tc>
          <w:tcPr>
            <w:tcW w:w="7208" w:type="dxa"/>
            <w:shd w:val="clear" w:color="auto" w:fill="auto"/>
            <w:vAlign w:val="center"/>
          </w:tcPr>
          <w:p>
            <w:pPr>
              <w:widowControl/>
              <w:spacing w:line="240" w:lineRule="auto"/>
              <w:jc w:val="center"/>
              <w:rPr>
                <w:rFonts w:hint="default" w:cs="宋体" w:asciiTheme="minorEastAsia" w:hAnsiTheme="minorEastAsia" w:eastAsiaTheme="minorEastAsia"/>
                <w:b w:val="0"/>
                <w:bCs w:val="0"/>
                <w:kern w:val="2"/>
                <w:sz w:val="21"/>
                <w:szCs w:val="21"/>
                <w:lang w:val="en-US" w:eastAsia="zh-CN" w:bidi="ar-SA"/>
              </w:rPr>
            </w:pPr>
            <w:r>
              <w:rPr>
                <w:rFonts w:hint="eastAsia" w:cs="宋体" w:asciiTheme="minorEastAsia" w:hAnsiTheme="minorEastAsia" w:eastAsiaTheme="minorEastAsia"/>
                <w:b w:val="0"/>
                <w:bCs w:val="0"/>
                <w:kern w:val="2"/>
                <w:sz w:val="21"/>
                <w:szCs w:val="21"/>
                <w:lang w:val="en-US" w:eastAsia="zh-CN" w:bidi="ar-SA"/>
              </w:rPr>
              <w:t>诚信立足，创新致远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698" w:type="dxa"/>
            <w:shd w:val="clear" w:color="auto" w:fill="auto"/>
            <w:vAlign w:val="center"/>
          </w:tcPr>
          <w:p>
            <w:pPr>
              <w:jc w:val="center"/>
              <w:rPr>
                <w:rFonts w:ascii="Arial" w:hAnsi="Arial"/>
                <w:b/>
                <w:bCs/>
                <w:color w:val="000000"/>
                <w:sz w:val="21"/>
                <w:szCs w:val="21"/>
              </w:rPr>
            </w:pPr>
            <w:r>
              <w:rPr>
                <w:rFonts w:hint="eastAsia" w:ascii="Arial" w:hAnsi="Arial"/>
                <w:b/>
                <w:bCs/>
                <w:color w:val="000000"/>
                <w:sz w:val="21"/>
                <w:szCs w:val="21"/>
              </w:rPr>
              <w:t>价值观</w:t>
            </w:r>
          </w:p>
        </w:tc>
        <w:tc>
          <w:tcPr>
            <w:tcW w:w="7208" w:type="dxa"/>
            <w:shd w:val="clear" w:color="auto" w:fill="auto"/>
            <w:vAlign w:val="center"/>
          </w:tcPr>
          <w:p>
            <w:pPr>
              <w:widowControl/>
              <w:spacing w:line="240" w:lineRule="auto"/>
              <w:jc w:val="center"/>
              <w:rPr>
                <w:rFonts w:hint="eastAsia" w:cs="宋体" w:asciiTheme="minorEastAsia" w:hAnsiTheme="minorEastAsia" w:eastAsiaTheme="minorEastAsia"/>
                <w:b w:val="0"/>
                <w:bCs w:val="0"/>
                <w:kern w:val="2"/>
                <w:sz w:val="21"/>
                <w:szCs w:val="21"/>
                <w:lang w:val="en-US" w:eastAsia="zh-CN" w:bidi="ar-SA"/>
              </w:rPr>
            </w:pPr>
            <w:r>
              <w:rPr>
                <w:rFonts w:hint="eastAsia"/>
                <w:highlight w:val="none"/>
                <w:lang w:val="en-US" w:eastAsia="zh-CN"/>
              </w:rPr>
              <w:t>诚信、创新、业绩、和谐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698" w:type="dxa"/>
            <w:shd w:val="clear" w:color="auto" w:fill="auto"/>
            <w:vAlign w:val="center"/>
          </w:tcPr>
          <w:p>
            <w:pPr>
              <w:jc w:val="center"/>
              <w:rPr>
                <w:rFonts w:ascii="Arial" w:hAnsi="Arial"/>
                <w:b/>
                <w:bCs/>
                <w:color w:val="000000"/>
                <w:sz w:val="21"/>
                <w:szCs w:val="21"/>
              </w:rPr>
            </w:pPr>
            <w:r>
              <w:rPr>
                <w:rFonts w:hint="eastAsia" w:ascii="Arial" w:hAnsi="Arial"/>
                <w:b/>
                <w:bCs/>
                <w:color w:val="000000"/>
                <w:sz w:val="21"/>
                <w:szCs w:val="21"/>
              </w:rPr>
              <w:t>经营理念</w:t>
            </w:r>
          </w:p>
        </w:tc>
        <w:tc>
          <w:tcPr>
            <w:tcW w:w="7208" w:type="dxa"/>
            <w:shd w:val="clear" w:color="auto" w:fill="auto"/>
            <w:vAlign w:val="center"/>
          </w:tcPr>
          <w:p>
            <w:pPr>
              <w:widowControl/>
              <w:spacing w:line="240" w:lineRule="auto"/>
              <w:jc w:val="center"/>
              <w:rPr>
                <w:rFonts w:hint="eastAsia" w:cs="宋体" w:asciiTheme="minorEastAsia" w:hAnsiTheme="minorEastAsia" w:eastAsiaTheme="minorEastAsia"/>
                <w:b w:val="0"/>
                <w:bCs w:val="0"/>
                <w:kern w:val="2"/>
                <w:sz w:val="21"/>
                <w:szCs w:val="21"/>
                <w:lang w:val="en-US" w:eastAsia="zh-CN" w:bidi="ar-SA"/>
              </w:rPr>
            </w:pPr>
            <w:r>
              <w:rPr>
                <w:rFonts w:hint="eastAsia" w:cs="宋体" w:asciiTheme="minorEastAsia" w:hAnsiTheme="minorEastAsia" w:eastAsiaTheme="minorEastAsia"/>
                <w:b w:val="0"/>
                <w:bCs w:val="0"/>
                <w:kern w:val="2"/>
                <w:sz w:val="21"/>
                <w:szCs w:val="21"/>
                <w:lang w:val="en-US" w:eastAsia="zh-CN" w:bidi="ar-SA"/>
              </w:rPr>
              <w:t>制造精品、诚信经营</w:t>
            </w:r>
          </w:p>
        </w:tc>
      </w:tr>
    </w:tbl>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rFonts w:hint="eastAsia"/>
          <w:highlight w:val="none"/>
        </w:rPr>
      </w:pPr>
      <w:bookmarkStart w:id="5" w:name="_Ref329948790"/>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rFonts w:hint="eastAsia"/>
          <w:highlight w:val="none"/>
        </w:rPr>
      </w:pPr>
      <w:r>
        <w:rPr>
          <w:rFonts w:hint="eastAsia"/>
          <w:highlight w:val="none"/>
        </w:rPr>
        <w:t>企业使命：</w:t>
      </w:r>
      <w:r>
        <w:rPr>
          <w:rFonts w:hint="eastAsia"/>
          <w:highlight w:val="none"/>
          <w:lang w:val="en-US" w:eastAsia="zh-CN"/>
        </w:rPr>
        <w:t>客户的需求就是我们不懈的努力</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highlight w:val="none"/>
        </w:rPr>
      </w:pPr>
      <w:r>
        <w:rPr>
          <w:rFonts w:hint="eastAsia"/>
          <w:highlight w:val="none"/>
        </w:rPr>
        <w:t>随着物质文化生活和精神文化生活不断的提高，消费者追求高品质生活的理念转变，在追求现代化</w:t>
      </w:r>
      <w:r>
        <w:rPr>
          <w:rFonts w:hint="eastAsia"/>
          <w:highlight w:val="none"/>
          <w:lang w:val="en-US"/>
        </w:rPr>
        <w:t>商务</w:t>
      </w:r>
      <w:r>
        <w:rPr>
          <w:rFonts w:hint="eastAsia"/>
          <w:highlight w:val="none"/>
        </w:rPr>
        <w:t>快捷式生活的同时，</w:t>
      </w:r>
      <w:r>
        <w:rPr>
          <w:rFonts w:hint="eastAsia"/>
          <w:highlight w:val="none"/>
          <w:lang w:val="en-US"/>
        </w:rPr>
        <w:t>时尚高端</w:t>
      </w:r>
      <w:r>
        <w:rPr>
          <w:rFonts w:hint="eastAsia"/>
          <w:highlight w:val="none"/>
        </w:rPr>
        <w:t>同样也成了现代人选择消费时一个主要的考虑点。打造</w:t>
      </w:r>
      <w:r>
        <w:rPr>
          <w:rFonts w:hint="eastAsia" w:asciiTheme="minorEastAsia" w:hAnsiTheme="minorEastAsia" w:eastAsiaTheme="minorEastAsia"/>
          <w:color w:val="000000" w:themeColor="text1"/>
          <w:highlight w:val="none"/>
          <w:lang w:val="en-US" w:eastAsia="zh-CN"/>
          <w14:textFill>
            <w14:solidFill>
              <w14:schemeClr w14:val="tx1"/>
            </w14:solidFill>
          </w14:textFill>
        </w:rPr>
        <w:t>企业鞋底</w:t>
      </w:r>
      <w:r>
        <w:rPr>
          <w:rFonts w:hint="eastAsia" w:asciiTheme="minorEastAsia" w:hAnsiTheme="minorEastAsia" w:eastAsiaTheme="minorEastAsia"/>
          <w:color w:val="000000" w:themeColor="text1"/>
          <w:highlight w:val="none"/>
          <w:lang w:val="en-US"/>
          <w14:textFill>
            <w14:solidFill>
              <w14:schemeClr w14:val="tx1"/>
            </w14:solidFill>
          </w14:textFill>
        </w:rPr>
        <w:t>定制</w:t>
      </w:r>
      <w:r>
        <w:rPr>
          <w:rFonts w:hint="eastAsia"/>
          <w:highlight w:val="none"/>
        </w:rPr>
        <w:t>，为我们的</w:t>
      </w:r>
      <w:r>
        <w:rPr>
          <w:rFonts w:hint="eastAsia"/>
          <w:highlight w:val="none"/>
          <w:lang w:val="en-US"/>
        </w:rPr>
        <w:t>客户塑造</w:t>
      </w:r>
      <w:r>
        <w:rPr>
          <w:rFonts w:hint="eastAsia"/>
          <w:highlight w:val="none"/>
          <w:lang w:val="en-US" w:eastAsia="zh-CN"/>
        </w:rPr>
        <w:t>企业</w:t>
      </w:r>
      <w:r>
        <w:rPr>
          <w:rFonts w:hint="eastAsia"/>
          <w:highlight w:val="none"/>
          <w:lang w:val="en-US"/>
        </w:rPr>
        <w:t>精英形象</w:t>
      </w:r>
      <w:r>
        <w:rPr>
          <w:rFonts w:hint="eastAsia"/>
          <w:highlight w:val="none"/>
        </w:rPr>
        <w:t>。</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rFonts w:hint="eastAsia"/>
          <w:highlight w:val="none"/>
          <w:lang w:val="en-US" w:eastAsia="zh-CN"/>
        </w:rPr>
      </w:pPr>
      <w:r>
        <w:rPr>
          <w:rFonts w:hint="eastAsia"/>
          <w:highlight w:val="none"/>
        </w:rPr>
        <w:t>企业愿景</w:t>
      </w:r>
      <w:r>
        <w:rPr>
          <w:rFonts w:hint="eastAsia" w:ascii="宋体" w:hAnsi="宋体" w:eastAsia="宋体" w:cs="宋体"/>
          <w:highlight w:val="none"/>
        </w:rPr>
        <w:t>：</w:t>
      </w:r>
      <w:r>
        <w:rPr>
          <w:rFonts w:hint="eastAsia"/>
          <w:highlight w:val="none"/>
          <w:lang w:val="en-US" w:eastAsia="zh-CN"/>
        </w:rPr>
        <w:t>诚信立足，创新致远</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rFonts w:hint="eastAsia"/>
          <w:highlight w:val="yellow"/>
        </w:rPr>
      </w:pPr>
      <w:r>
        <w:rPr>
          <w:rFonts w:hint="eastAsia"/>
          <w:highlight w:val="none"/>
          <w:lang w:val="en-US"/>
        </w:rPr>
        <w:t>公司自创建以来以一流的品质、优良的信誉，</w:t>
      </w:r>
      <w:r>
        <w:rPr>
          <w:rFonts w:hint="eastAsia"/>
          <w:highlight w:val="none"/>
        </w:rPr>
        <w:t>目前在国内市场已有</w:t>
      </w:r>
      <w:r>
        <w:rPr>
          <w:rFonts w:hint="eastAsia"/>
          <w:highlight w:val="none"/>
          <w:lang w:val="en-US"/>
        </w:rPr>
        <w:t>一定</w:t>
      </w:r>
      <w:r>
        <w:rPr>
          <w:rFonts w:hint="eastAsia"/>
          <w:highlight w:val="none"/>
        </w:rPr>
        <w:t>的行业地位与影响力，结合当代社会经济发展形式，在互联网经济时代，我公司致力于成为</w:t>
      </w:r>
      <w:r>
        <w:rPr>
          <w:rFonts w:hint="eastAsia"/>
          <w:color w:val="000000"/>
          <w:highlight w:val="none"/>
        </w:rPr>
        <w:t>互联网时代</w:t>
      </w:r>
      <w:r>
        <w:rPr>
          <w:rFonts w:hint="eastAsia" w:asciiTheme="minorEastAsia" w:hAnsiTheme="minorEastAsia" w:eastAsiaTheme="minorEastAsia"/>
          <w:color w:val="000000" w:themeColor="text1"/>
          <w:highlight w:val="none"/>
          <w:lang w:val="en-US" w:eastAsia="zh-CN"/>
          <w14:textFill>
            <w14:solidFill>
              <w14:schemeClr w14:val="tx1"/>
            </w14:solidFill>
          </w14:textFill>
        </w:rPr>
        <w:t>企业</w:t>
      </w:r>
      <w:r>
        <w:rPr>
          <w:rFonts w:hint="eastAsia" w:asciiTheme="minorEastAsia" w:hAnsiTheme="minorEastAsia" w:eastAsiaTheme="minorEastAsia"/>
          <w:color w:val="000000" w:themeColor="text1"/>
          <w:highlight w:val="none"/>
          <w:lang w:val="en-US"/>
          <w14:textFill>
            <w14:solidFill>
              <w14:schemeClr w14:val="tx1"/>
            </w14:solidFill>
          </w14:textFill>
        </w:rPr>
        <w:t>高端</w:t>
      </w:r>
      <w:r>
        <w:rPr>
          <w:rFonts w:hint="eastAsia" w:asciiTheme="minorEastAsia" w:hAnsiTheme="minorEastAsia" w:eastAsiaTheme="minorEastAsia"/>
          <w:color w:val="000000" w:themeColor="text1"/>
          <w:highlight w:val="none"/>
          <w:lang w:val="en-US" w:eastAsia="zh-CN"/>
          <w14:textFill>
            <w14:solidFill>
              <w14:schemeClr w14:val="tx1"/>
            </w14:solidFill>
          </w14:textFill>
        </w:rPr>
        <w:t>模具、塑料制品、塑料加工</w:t>
      </w:r>
      <w:r>
        <w:rPr>
          <w:rFonts w:hint="eastAsia" w:asciiTheme="minorEastAsia" w:hAnsiTheme="minorEastAsia" w:eastAsiaTheme="minorEastAsia"/>
          <w:color w:val="000000" w:themeColor="text1"/>
          <w:highlight w:val="none"/>
          <w:lang w:val="en-US"/>
          <w14:textFill>
            <w14:solidFill>
              <w14:schemeClr w14:val="tx1"/>
            </w14:solidFill>
          </w14:textFill>
        </w:rPr>
        <w:t>定制</w:t>
      </w:r>
      <w:r>
        <w:rPr>
          <w:rFonts w:hint="eastAsia"/>
          <w:color w:val="000000"/>
          <w:highlight w:val="none"/>
        </w:rPr>
        <w:t>顶级</w:t>
      </w:r>
      <w:r>
        <w:rPr>
          <w:rFonts w:hint="eastAsia"/>
          <w:color w:val="000000"/>
          <w:highlight w:val="none"/>
          <w:lang w:val="en-US"/>
        </w:rPr>
        <w:t>服务</w:t>
      </w:r>
      <w:r>
        <w:rPr>
          <w:rFonts w:hint="eastAsia"/>
          <w:color w:val="000000"/>
          <w:highlight w:val="none"/>
        </w:rPr>
        <w:t>商</w:t>
      </w:r>
      <w:r>
        <w:rPr>
          <w:rFonts w:hint="eastAsia"/>
          <w:highlight w:val="none"/>
        </w:rPr>
        <w:t>。</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rFonts w:hint="eastAsia"/>
          <w:highlight w:val="none"/>
          <w:lang w:eastAsia="zh-CN"/>
        </w:rPr>
      </w:pPr>
      <w:r>
        <w:rPr>
          <w:rFonts w:hint="eastAsia"/>
          <w:highlight w:val="none"/>
        </w:rPr>
        <w:t>核心价值观：</w:t>
      </w:r>
      <w:r>
        <w:rPr>
          <w:rFonts w:hint="eastAsia"/>
          <w:highlight w:val="none"/>
          <w:lang w:val="en-US" w:eastAsia="zh-CN"/>
        </w:rPr>
        <w:t>诚信、创新、业绩、和谐</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rFonts w:hint="default"/>
          <w:highlight w:val="none"/>
          <w:lang w:val="en-US" w:eastAsia="zh-CN"/>
        </w:rPr>
      </w:pPr>
      <w:r>
        <w:rPr>
          <w:rFonts w:hint="eastAsia"/>
          <w:highlight w:val="none"/>
          <w:lang w:val="en-US" w:eastAsia="zh-CN"/>
        </w:rPr>
        <w:t>诚信</w:t>
      </w:r>
      <w:r>
        <w:rPr>
          <w:rFonts w:hint="eastAsia"/>
          <w:highlight w:val="none"/>
        </w:rPr>
        <w:t>——</w:t>
      </w:r>
      <w:r>
        <w:rPr>
          <w:rFonts w:hint="eastAsia"/>
          <w:highlight w:val="none"/>
          <w:lang w:val="en-US" w:eastAsia="zh-CN"/>
        </w:rPr>
        <w:t>立诚守信，言真行实。</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rFonts w:hint="eastAsia"/>
          <w:highlight w:val="none"/>
        </w:rPr>
      </w:pPr>
      <w:r>
        <w:rPr>
          <w:rFonts w:hint="eastAsia"/>
          <w:highlight w:val="none"/>
          <w:lang w:val="en-US" w:eastAsia="zh-CN"/>
        </w:rPr>
        <w:t>创新</w:t>
      </w:r>
      <w:r>
        <w:rPr>
          <w:rFonts w:hint="eastAsia"/>
          <w:highlight w:val="none"/>
        </w:rPr>
        <w:t>——</w:t>
      </w:r>
      <w:r>
        <w:rPr>
          <w:rFonts w:hint="eastAsia"/>
          <w:highlight w:val="none"/>
          <w:lang w:val="en-US" w:eastAsia="zh-CN"/>
        </w:rPr>
        <w:t>与时俱进，开括创新</w:t>
      </w:r>
      <w:r>
        <w:rPr>
          <w:rFonts w:hint="eastAsia"/>
          <w:highlight w:val="none"/>
        </w:rPr>
        <w:t>。</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rFonts w:hint="eastAsia"/>
          <w:highlight w:val="none"/>
          <w:lang w:val="en-US" w:eastAsia="zh-CN"/>
        </w:rPr>
      </w:pPr>
      <w:r>
        <w:rPr>
          <w:rFonts w:hint="eastAsia"/>
          <w:highlight w:val="none"/>
          <w:lang w:val="en-US" w:eastAsia="zh-CN"/>
        </w:rPr>
        <w:t>业绩</w:t>
      </w:r>
      <w:r>
        <w:rPr>
          <w:rFonts w:hint="eastAsia"/>
          <w:highlight w:val="none"/>
        </w:rPr>
        <w:t>——</w:t>
      </w:r>
      <w:r>
        <w:rPr>
          <w:rFonts w:hint="eastAsia"/>
          <w:highlight w:val="none"/>
          <w:lang w:val="en-US" w:eastAsia="zh-CN"/>
        </w:rPr>
        <w:t>业绩至上，创造卓越。</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rFonts w:hint="default"/>
          <w:highlight w:val="none"/>
          <w:lang w:val="en-US" w:eastAsia="zh-CN"/>
        </w:rPr>
      </w:pPr>
      <w:r>
        <w:rPr>
          <w:rFonts w:hint="eastAsia"/>
          <w:highlight w:val="none"/>
          <w:lang w:val="en-US" w:eastAsia="zh-CN"/>
        </w:rPr>
        <w:t>和谐</w:t>
      </w:r>
      <w:r>
        <w:rPr>
          <w:rFonts w:hint="eastAsia"/>
          <w:highlight w:val="none"/>
        </w:rPr>
        <w:t>——</w:t>
      </w:r>
      <w:r>
        <w:rPr>
          <w:rFonts w:hint="eastAsia"/>
          <w:highlight w:val="none"/>
          <w:lang w:val="en-US" w:eastAsia="zh-CN"/>
        </w:rPr>
        <w:t>团结协作，营造和谐。</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rFonts w:hint="eastAsia"/>
          <w:highlight w:val="none"/>
          <w:lang w:val="en-US" w:eastAsia="zh-CN"/>
        </w:rPr>
      </w:pPr>
      <w:r>
        <w:rPr>
          <w:rFonts w:hint="eastAsia"/>
          <w:highlight w:val="none"/>
        </w:rPr>
        <w:t>经营理念：</w:t>
      </w:r>
      <w:r>
        <w:rPr>
          <w:rFonts w:hint="eastAsia"/>
          <w:highlight w:val="none"/>
          <w:lang w:val="en-US" w:eastAsia="zh-CN"/>
        </w:rPr>
        <w:t>制造精品、诚信经营。</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highlight w:val="none"/>
        </w:rPr>
      </w:pPr>
      <w:r>
        <w:rPr>
          <w:rFonts w:hint="eastAsia"/>
          <w:highlight w:val="none"/>
          <w:lang w:val="en-US" w:eastAsia="zh-CN"/>
        </w:rPr>
        <w:t>坚持“质量第一，顾客满意，安全可靠，信誉至上”的质量方针，以一流的品质、优良的信誉为客户服务，通过技术打造</w:t>
      </w:r>
      <w:r>
        <w:rPr>
          <w:rFonts w:hint="eastAsia"/>
          <w:highlight w:val="none"/>
          <w:lang w:val="en-US"/>
        </w:rPr>
        <w:t>精品</w:t>
      </w:r>
      <w:r>
        <w:rPr>
          <w:rFonts w:hint="eastAsia"/>
          <w:highlight w:val="none"/>
        </w:rPr>
        <w:t>。</w:t>
      </w:r>
      <w:r>
        <w:rPr>
          <w:rFonts w:hint="eastAsia"/>
          <w:highlight w:val="none"/>
          <w:lang w:val="en-US" w:eastAsia="zh-CN"/>
        </w:rPr>
        <w:t>雷丰</w:t>
      </w:r>
      <w:r>
        <w:rPr>
          <w:rFonts w:hint="eastAsia"/>
          <w:highlight w:val="none"/>
          <w:lang w:eastAsia="zh-CN"/>
        </w:rPr>
        <w:t>的员工从上至下都以“</w:t>
      </w:r>
      <w:r>
        <w:rPr>
          <w:rFonts w:hint="eastAsia"/>
          <w:highlight w:val="none"/>
          <w:lang w:val="en-US" w:eastAsia="zh-CN"/>
        </w:rPr>
        <w:t>诚信、创新、业绩、和谐</w:t>
      </w:r>
      <w:r>
        <w:rPr>
          <w:rFonts w:hint="eastAsia"/>
          <w:highlight w:val="none"/>
          <w:lang w:eastAsia="zh-CN"/>
        </w:rPr>
        <w:t>”为核心价值取向，时时牢记我们是诚信的维护者，是专业</w:t>
      </w:r>
      <w:r>
        <w:rPr>
          <w:rFonts w:hint="eastAsia"/>
          <w:highlight w:val="none"/>
          <w:lang w:val="en-US" w:eastAsia="zh-CN"/>
        </w:rPr>
        <w:t>模具、塑料制品、塑料加工</w:t>
      </w:r>
      <w:r>
        <w:rPr>
          <w:rFonts w:hint="eastAsia"/>
          <w:highlight w:val="none"/>
          <w:lang w:eastAsia="zh-CN"/>
        </w:rPr>
        <w:t>生产的前行者，是构建和谐企业的缔造者。</w:t>
      </w:r>
    </w:p>
    <w:bookmarkEnd w:id="5"/>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2）企业文化理念的宣贯</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highlight w:val="none"/>
        </w:rPr>
      </w:pPr>
      <w:r>
        <w:rPr>
          <w:rFonts w:hint="eastAsia"/>
          <w:highlight w:val="none"/>
        </w:rPr>
        <w:t>公司总经理非常注重企业文化建设，他相信“文化是最顶层，包括团队的方向，追求持续经营，要做顶级供应商就必须打造好企业文化”。</w:t>
      </w:r>
    </w:p>
    <w:p>
      <w:pPr>
        <w:pStyle w:val="4"/>
        <w:spacing w:before="166" w:line="386" w:lineRule="auto"/>
        <w:ind w:right="359" w:firstLine="480"/>
        <w:jc w:val="both"/>
      </w:pPr>
      <w:r>
        <w:rPr>
          <w:lang w:val="en-US" w:bidi="ar-SA"/>
        </w:rPr>
        <w:drawing>
          <wp:inline distT="0" distB="0" distL="114300" distR="114300">
            <wp:extent cx="4525645" cy="2484120"/>
            <wp:effectExtent l="0" t="0" r="0" b="11430"/>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9"/>
                    <a:stretch>
                      <a:fillRect/>
                    </a:stretch>
                  </pic:blipFill>
                  <pic:spPr>
                    <a:xfrm>
                      <a:off x="0" y="0"/>
                      <a:ext cx="4525645" cy="2484120"/>
                    </a:xfrm>
                    <a:prstGeom prst="rect">
                      <a:avLst/>
                    </a:prstGeom>
                    <a:noFill/>
                    <a:ln>
                      <a:noFill/>
                    </a:ln>
                  </pic:spPr>
                </pic:pic>
              </a:graphicData>
            </a:graphic>
          </wp:inline>
        </w:drawing>
      </w:r>
    </w:p>
    <w:p>
      <w:pPr>
        <w:pStyle w:val="4"/>
        <w:spacing w:before="166" w:line="386" w:lineRule="auto"/>
        <w:ind w:right="359" w:firstLine="480"/>
        <w:jc w:val="center"/>
      </w:pPr>
      <w:r>
        <w:rPr>
          <w:rFonts w:hint="eastAsia"/>
        </w:rPr>
        <w:t>图表</w:t>
      </w:r>
      <w:r>
        <w:rPr>
          <w:rFonts w:hint="eastAsia"/>
          <w:lang w:val="en-US"/>
        </w:rPr>
        <w:t>2</w:t>
      </w:r>
      <w:r>
        <w:rPr>
          <w:rFonts w:hint="eastAsia"/>
        </w:rPr>
        <w:t>.1-</w:t>
      </w:r>
      <w:r>
        <w:fldChar w:fldCharType="begin"/>
      </w:r>
      <w:r>
        <w:rPr>
          <w:rFonts w:hint="eastAsia"/>
        </w:rPr>
        <w:instrText xml:space="preserve">SEQ 图表4.1- \* ARABIC</w:instrText>
      </w:r>
      <w:r>
        <w:fldChar w:fldCharType="separate"/>
      </w:r>
      <w:r>
        <w:t>1</w:t>
      </w:r>
      <w:r>
        <w:fldChar w:fldCharType="end"/>
      </w:r>
      <w:r>
        <w:rPr>
          <w:rFonts w:hint="eastAsia"/>
        </w:rPr>
        <w:t xml:space="preserve"> 公司多渠道企业文化传播</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pPr>
      <w:r>
        <w:rPr>
          <w:rFonts w:hint="eastAsia"/>
        </w:rPr>
        <w:t>总经理希望</w:t>
      </w:r>
      <w:r>
        <w:rPr>
          <w:rFonts w:hint="eastAsia"/>
          <w:lang w:val="en-US" w:eastAsia="zh-CN"/>
        </w:rPr>
        <w:t>雷丰</w:t>
      </w:r>
      <w:r>
        <w:rPr>
          <w:rFonts w:hint="eastAsia"/>
        </w:rPr>
        <w:t>优秀的企业文化能培养更多的优秀人才，继而以优秀的人才团队推动企业的快速发展，使</w:t>
      </w:r>
      <w:r>
        <w:rPr>
          <w:rFonts w:hint="eastAsia"/>
          <w:lang w:val="en-US" w:eastAsia="zh-CN"/>
        </w:rPr>
        <w:t>雷丰</w:t>
      </w:r>
      <w:r>
        <w:rPr>
          <w:rFonts w:hint="eastAsia"/>
        </w:rPr>
        <w:t>早日成为国际一流公司，早日达到既定目标，实现崇高理想。</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center"/>
        <w:textAlignment w:val="auto"/>
      </w:pPr>
      <w:r>
        <w:rPr>
          <w:rFonts w:hint="eastAsia"/>
        </w:rPr>
        <w:t>图表</w:t>
      </w:r>
      <w:r>
        <w:rPr>
          <w:rFonts w:hint="eastAsia"/>
          <w:lang w:val="en-US"/>
        </w:rPr>
        <w:t>2</w:t>
      </w:r>
      <w:r>
        <w:rPr>
          <w:rFonts w:hint="eastAsia"/>
        </w:rPr>
        <w:t>.1-</w:t>
      </w:r>
      <w:r>
        <w:fldChar w:fldCharType="begin"/>
      </w:r>
      <w:r>
        <w:rPr>
          <w:rFonts w:hint="eastAsia"/>
        </w:rPr>
        <w:instrText xml:space="preserve">SEQ 图表4.1- \* ARABIC</w:instrText>
      </w:r>
      <w:r>
        <w:fldChar w:fldCharType="separate"/>
      </w:r>
      <w:r>
        <w:t>2</w:t>
      </w:r>
      <w:r>
        <w:fldChar w:fldCharType="end"/>
      </w:r>
      <w:r>
        <w:rPr>
          <w:rFonts w:hint="eastAsia"/>
        </w:rPr>
        <w:t xml:space="preserve"> 企业文化宣传一览表</w:t>
      </w:r>
    </w:p>
    <w:tbl>
      <w:tblPr>
        <w:tblStyle w:val="10"/>
        <w:tblW w:w="900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8"/>
        <w:gridCol w:w="524"/>
        <w:gridCol w:w="1840"/>
        <w:gridCol w:w="2269"/>
        <w:gridCol w:w="1721"/>
        <w:gridCol w:w="22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blHeader/>
        </w:trPr>
        <w:tc>
          <w:tcPr>
            <w:tcW w:w="962" w:type="dxa"/>
            <w:gridSpan w:val="2"/>
            <w:tcBorders>
              <w:top w:val="single" w:color="000000" w:sz="4" w:space="0"/>
              <w:left w:val="single" w:color="000000" w:sz="4" w:space="0"/>
              <w:bottom w:val="single" w:color="000000" w:sz="4" w:space="0"/>
              <w:right w:val="single" w:color="000000" w:sz="4" w:space="0"/>
            </w:tcBorders>
            <w:shd w:val="clear" w:color="auto" w:fill="548DD4" w:themeFill="text2" w:themeFillTint="99"/>
            <w:vAlign w:val="center"/>
          </w:tcPr>
          <w:p>
            <w:pPr>
              <w:snapToGrid w:val="0"/>
              <w:jc w:val="center"/>
              <w:rPr>
                <w:rFonts w:ascii="微软雅黑" w:hAnsi="微软雅黑" w:eastAsia="微软雅黑"/>
                <w:b/>
                <w:sz w:val="21"/>
                <w:szCs w:val="21"/>
              </w:rPr>
            </w:pPr>
            <w:r>
              <w:rPr>
                <w:rFonts w:hint="eastAsia" w:ascii="微软雅黑" w:hAnsi="微软雅黑" w:eastAsia="微软雅黑"/>
                <w:b/>
                <w:sz w:val="21"/>
                <w:szCs w:val="21"/>
              </w:rPr>
              <w:t>对象</w:t>
            </w:r>
          </w:p>
        </w:tc>
        <w:tc>
          <w:tcPr>
            <w:tcW w:w="1840" w:type="dxa"/>
            <w:tcBorders>
              <w:top w:val="single" w:color="000000" w:sz="4" w:space="0"/>
              <w:left w:val="single" w:color="000000" w:sz="4" w:space="0"/>
              <w:bottom w:val="single" w:color="000000" w:sz="4" w:space="0"/>
              <w:right w:val="single" w:color="000000" w:sz="4" w:space="0"/>
            </w:tcBorders>
            <w:shd w:val="clear" w:color="auto" w:fill="548DD4" w:themeFill="text2" w:themeFillTint="99"/>
            <w:vAlign w:val="center"/>
          </w:tcPr>
          <w:p>
            <w:pPr>
              <w:snapToGrid w:val="0"/>
              <w:jc w:val="center"/>
              <w:rPr>
                <w:rFonts w:ascii="微软雅黑" w:hAnsi="微软雅黑" w:eastAsia="微软雅黑"/>
                <w:b/>
                <w:sz w:val="21"/>
                <w:szCs w:val="21"/>
              </w:rPr>
            </w:pPr>
            <w:r>
              <w:rPr>
                <w:rFonts w:hint="eastAsia" w:ascii="微软雅黑" w:hAnsi="微软雅黑" w:eastAsia="微软雅黑"/>
                <w:b/>
                <w:sz w:val="21"/>
                <w:szCs w:val="21"/>
              </w:rPr>
              <w:t>宣传渠道</w:t>
            </w:r>
          </w:p>
        </w:tc>
        <w:tc>
          <w:tcPr>
            <w:tcW w:w="2269" w:type="dxa"/>
            <w:tcBorders>
              <w:top w:val="single" w:color="000000" w:sz="4" w:space="0"/>
              <w:left w:val="single" w:color="000000" w:sz="4" w:space="0"/>
              <w:bottom w:val="single" w:color="000000" w:sz="4" w:space="0"/>
              <w:right w:val="single" w:color="000000" w:sz="4" w:space="0"/>
            </w:tcBorders>
            <w:shd w:val="clear" w:color="auto" w:fill="548DD4" w:themeFill="text2" w:themeFillTint="99"/>
            <w:vAlign w:val="center"/>
          </w:tcPr>
          <w:p>
            <w:pPr>
              <w:snapToGrid w:val="0"/>
              <w:jc w:val="center"/>
              <w:rPr>
                <w:rFonts w:ascii="微软雅黑" w:hAnsi="微软雅黑" w:eastAsia="微软雅黑"/>
                <w:b/>
                <w:sz w:val="21"/>
                <w:szCs w:val="21"/>
              </w:rPr>
            </w:pPr>
            <w:r>
              <w:rPr>
                <w:rFonts w:hint="eastAsia" w:ascii="微软雅黑" w:hAnsi="微软雅黑" w:eastAsia="微软雅黑"/>
                <w:b/>
                <w:sz w:val="21"/>
                <w:szCs w:val="21"/>
              </w:rPr>
              <w:t>宣传内容</w:t>
            </w:r>
          </w:p>
        </w:tc>
        <w:tc>
          <w:tcPr>
            <w:tcW w:w="1721" w:type="dxa"/>
            <w:tcBorders>
              <w:top w:val="single" w:color="000000" w:sz="4" w:space="0"/>
              <w:left w:val="single" w:color="000000" w:sz="4" w:space="0"/>
              <w:bottom w:val="single" w:color="000000" w:sz="4" w:space="0"/>
              <w:right w:val="single" w:color="000000" w:sz="4" w:space="0"/>
            </w:tcBorders>
            <w:shd w:val="clear" w:color="auto" w:fill="548DD4" w:themeFill="text2" w:themeFillTint="99"/>
            <w:vAlign w:val="center"/>
          </w:tcPr>
          <w:p>
            <w:pPr>
              <w:snapToGrid w:val="0"/>
              <w:jc w:val="center"/>
              <w:rPr>
                <w:rFonts w:ascii="微软雅黑" w:hAnsi="微软雅黑" w:eastAsia="微软雅黑"/>
                <w:b/>
                <w:sz w:val="21"/>
                <w:szCs w:val="21"/>
              </w:rPr>
            </w:pPr>
            <w:r>
              <w:rPr>
                <w:rFonts w:hint="eastAsia" w:ascii="微软雅黑" w:hAnsi="微软雅黑" w:eastAsia="微软雅黑"/>
                <w:b/>
                <w:sz w:val="21"/>
                <w:szCs w:val="21"/>
              </w:rPr>
              <w:t>效果</w:t>
            </w:r>
          </w:p>
        </w:tc>
        <w:tc>
          <w:tcPr>
            <w:tcW w:w="2211" w:type="dxa"/>
            <w:tcBorders>
              <w:top w:val="single" w:color="000000" w:sz="4" w:space="0"/>
              <w:left w:val="single" w:color="000000" w:sz="4" w:space="0"/>
              <w:bottom w:val="single" w:color="000000" w:sz="4" w:space="0"/>
              <w:right w:val="single" w:color="000000" w:sz="4" w:space="0"/>
            </w:tcBorders>
            <w:shd w:val="clear" w:color="auto" w:fill="548DD4" w:themeFill="text2" w:themeFillTint="99"/>
            <w:vAlign w:val="center"/>
          </w:tcPr>
          <w:p>
            <w:pPr>
              <w:snapToGrid w:val="0"/>
              <w:jc w:val="center"/>
              <w:rPr>
                <w:rFonts w:ascii="微软雅黑" w:hAnsi="微软雅黑" w:eastAsia="微软雅黑"/>
                <w:b/>
                <w:sz w:val="21"/>
                <w:szCs w:val="21"/>
              </w:rPr>
            </w:pPr>
            <w:r>
              <w:rPr>
                <w:rFonts w:hint="eastAsia" w:ascii="微软雅黑" w:hAnsi="微软雅黑" w:eastAsia="微软雅黑"/>
                <w:b/>
                <w:sz w:val="21"/>
                <w:szCs w:val="21"/>
              </w:rPr>
              <w:t>评价机制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38" w:type="dxa"/>
            <w:tcBorders>
              <w:top w:val="single" w:color="000000" w:sz="4" w:space="0"/>
              <w:left w:val="single" w:color="000000" w:sz="4" w:space="0"/>
              <w:bottom w:val="single" w:color="000000" w:sz="4" w:space="0"/>
              <w:right w:val="single" w:color="auto" w:sz="4" w:space="0"/>
            </w:tcBorders>
            <w:shd w:val="clear" w:color="auto" w:fill="F2F2F2"/>
            <w:vAlign w:val="center"/>
          </w:tcPr>
          <w:p>
            <w:pPr>
              <w:snapToGrid w:val="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内部</w:t>
            </w:r>
          </w:p>
        </w:tc>
        <w:tc>
          <w:tcPr>
            <w:tcW w:w="524" w:type="dxa"/>
            <w:tcBorders>
              <w:top w:val="single" w:color="000000" w:sz="4" w:space="0"/>
              <w:left w:val="single" w:color="auto" w:sz="4" w:space="0"/>
              <w:bottom w:val="single" w:color="000000" w:sz="4" w:space="0"/>
              <w:right w:val="single" w:color="000000" w:sz="4" w:space="0"/>
            </w:tcBorders>
            <w:shd w:val="clear" w:color="auto" w:fill="F2F2F2"/>
            <w:vAlign w:val="center"/>
          </w:tcPr>
          <w:p>
            <w:pPr>
              <w:snapToGrid w:val="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员工</w:t>
            </w:r>
          </w:p>
        </w:tc>
        <w:tc>
          <w:tcPr>
            <w:tcW w:w="1840" w:type="dxa"/>
            <w:tcBorders>
              <w:top w:val="single" w:color="000000" w:sz="4" w:space="0"/>
              <w:left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通讯平台、微信公众平台、年会、培训、优秀文化案例等</w:t>
            </w:r>
          </w:p>
        </w:tc>
        <w:tc>
          <w:tcPr>
            <w:tcW w:w="2269" w:type="dxa"/>
            <w:tcBorders>
              <w:top w:val="single" w:color="000000" w:sz="4" w:space="0"/>
              <w:left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文化制度、活动展示、优秀文化案例、优秀员工事迹、高层讲文化与自身创业故事</w:t>
            </w:r>
          </w:p>
        </w:tc>
        <w:tc>
          <w:tcPr>
            <w:tcW w:w="1721" w:type="dxa"/>
            <w:tcBorders>
              <w:top w:val="single" w:color="000000" w:sz="4" w:space="0"/>
              <w:left w:val="single" w:color="000000" w:sz="4" w:space="0"/>
              <w:bottom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提高员工企业文化认知度、认同度、满意度</w:t>
            </w:r>
          </w:p>
        </w:tc>
        <w:tc>
          <w:tcPr>
            <w:tcW w:w="2211" w:type="dxa"/>
            <w:tcBorders>
              <w:top w:val="single" w:color="000000" w:sz="4" w:space="0"/>
              <w:left w:val="single" w:color="000000" w:sz="4" w:space="0"/>
              <w:bottom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员工满意度调查、标杆员工等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38" w:type="dxa"/>
            <w:vMerge w:val="restart"/>
            <w:tcBorders>
              <w:top w:val="single" w:color="000000" w:sz="4" w:space="0"/>
              <w:left w:val="single" w:color="000000" w:sz="4" w:space="0"/>
              <w:bottom w:val="single" w:color="000000" w:sz="4" w:space="0"/>
              <w:right w:val="single" w:color="auto" w:sz="4" w:space="0"/>
            </w:tcBorders>
            <w:shd w:val="clear" w:color="auto" w:fill="F2F2F2"/>
            <w:vAlign w:val="center"/>
          </w:tcPr>
          <w:p>
            <w:pPr>
              <w:snapToGrid w:val="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外部</w:t>
            </w:r>
          </w:p>
        </w:tc>
        <w:tc>
          <w:tcPr>
            <w:tcW w:w="524" w:type="dxa"/>
            <w:tcBorders>
              <w:top w:val="single" w:color="000000" w:sz="4" w:space="0"/>
              <w:left w:val="single" w:color="auto" w:sz="4" w:space="0"/>
              <w:bottom w:val="single" w:color="000000" w:sz="4" w:space="0"/>
              <w:right w:val="single" w:color="000000" w:sz="4" w:space="0"/>
            </w:tcBorders>
            <w:shd w:val="clear" w:color="auto" w:fill="F2F2F2"/>
            <w:vAlign w:val="center"/>
          </w:tcPr>
          <w:p>
            <w:pPr>
              <w:snapToGrid w:val="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顾客</w:t>
            </w:r>
          </w:p>
        </w:tc>
        <w:tc>
          <w:tcPr>
            <w:tcW w:w="1840" w:type="dxa"/>
            <w:tcBorders>
              <w:top w:val="single" w:color="000000" w:sz="4" w:space="0"/>
              <w:left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展示厅、文化墙、文化案例传播、员工培训等</w:t>
            </w:r>
          </w:p>
        </w:tc>
        <w:tc>
          <w:tcPr>
            <w:tcW w:w="2269" w:type="dxa"/>
            <w:tcBorders>
              <w:top w:val="single" w:color="000000" w:sz="4" w:space="0"/>
              <w:left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文化动态、优秀文化案例、文化讲解、成果展示</w:t>
            </w:r>
          </w:p>
        </w:tc>
        <w:tc>
          <w:tcPr>
            <w:tcW w:w="1721" w:type="dxa"/>
            <w:tcBorders>
              <w:top w:val="single" w:color="000000" w:sz="4" w:space="0"/>
              <w:left w:val="single" w:color="000000" w:sz="4" w:space="0"/>
              <w:bottom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提高客户公司文化认同度</w:t>
            </w:r>
          </w:p>
        </w:tc>
        <w:tc>
          <w:tcPr>
            <w:tcW w:w="2211" w:type="dxa"/>
            <w:tcBorders>
              <w:top w:val="single" w:color="000000" w:sz="4" w:space="0"/>
              <w:left w:val="single" w:color="000000" w:sz="4" w:space="0"/>
              <w:bottom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满意度调查、企业文化认同等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38" w:type="dxa"/>
            <w:vMerge w:val="continue"/>
            <w:tcBorders>
              <w:top w:val="single" w:color="000000" w:sz="4" w:space="0"/>
              <w:left w:val="single" w:color="000000" w:sz="4" w:space="0"/>
              <w:bottom w:val="single" w:color="000000" w:sz="4" w:space="0"/>
              <w:right w:val="single" w:color="auto" w:sz="4" w:space="0"/>
            </w:tcBorders>
            <w:shd w:val="clear" w:color="auto" w:fill="F2F2F2"/>
            <w:vAlign w:val="center"/>
          </w:tcPr>
          <w:p>
            <w:pPr>
              <w:snapToGrid w:val="0"/>
              <w:jc w:val="center"/>
              <w:rPr>
                <w:rFonts w:asciiTheme="minorEastAsia" w:hAnsiTheme="minorEastAsia" w:eastAsiaTheme="minorEastAsia" w:cstheme="minorEastAsia"/>
                <w:sz w:val="21"/>
                <w:szCs w:val="21"/>
              </w:rPr>
            </w:pPr>
          </w:p>
        </w:tc>
        <w:tc>
          <w:tcPr>
            <w:tcW w:w="524" w:type="dxa"/>
            <w:tcBorders>
              <w:top w:val="single" w:color="000000" w:sz="4" w:space="0"/>
              <w:left w:val="single" w:color="auto" w:sz="4" w:space="0"/>
              <w:bottom w:val="single" w:color="000000" w:sz="4" w:space="0"/>
              <w:right w:val="single" w:color="000000" w:sz="4" w:space="0"/>
            </w:tcBorders>
            <w:shd w:val="clear" w:color="auto" w:fill="F2F2F2"/>
            <w:vAlign w:val="center"/>
          </w:tcPr>
          <w:p>
            <w:pPr>
              <w:snapToGrid w:val="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供方</w:t>
            </w:r>
          </w:p>
        </w:tc>
        <w:tc>
          <w:tcPr>
            <w:tcW w:w="1840" w:type="dxa"/>
            <w:tcBorders>
              <w:top w:val="single" w:color="000000" w:sz="4" w:space="0"/>
              <w:left w:val="single" w:color="000000" w:sz="4" w:space="0"/>
              <w:bottom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微信公众号、供应商会等</w:t>
            </w:r>
          </w:p>
        </w:tc>
        <w:tc>
          <w:tcPr>
            <w:tcW w:w="2269" w:type="dxa"/>
            <w:tcBorders>
              <w:top w:val="single" w:color="000000" w:sz="4" w:space="0"/>
              <w:left w:val="single" w:color="000000" w:sz="4" w:space="0"/>
              <w:bottom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质量文化、效率文化</w:t>
            </w:r>
          </w:p>
        </w:tc>
        <w:tc>
          <w:tcPr>
            <w:tcW w:w="1721" w:type="dxa"/>
            <w:tcBorders>
              <w:top w:val="single" w:color="000000" w:sz="4" w:space="0"/>
              <w:left w:val="single" w:color="000000" w:sz="4" w:space="0"/>
              <w:bottom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质量承诺书的签订 </w:t>
            </w:r>
          </w:p>
        </w:tc>
        <w:tc>
          <w:tcPr>
            <w:tcW w:w="2211" w:type="dxa"/>
            <w:tcBorders>
              <w:top w:val="single" w:color="000000" w:sz="4" w:space="0"/>
              <w:left w:val="single" w:color="000000" w:sz="4" w:space="0"/>
              <w:bottom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提高交付效率和质量、文化落地情况和效果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438" w:type="dxa"/>
            <w:vMerge w:val="continue"/>
            <w:tcBorders>
              <w:top w:val="single" w:color="000000" w:sz="4" w:space="0"/>
              <w:left w:val="single" w:color="000000" w:sz="4" w:space="0"/>
              <w:bottom w:val="single" w:color="000000" w:sz="4" w:space="0"/>
              <w:right w:val="single" w:color="auto" w:sz="4" w:space="0"/>
            </w:tcBorders>
            <w:shd w:val="clear" w:color="auto" w:fill="F2F2F2"/>
            <w:vAlign w:val="center"/>
          </w:tcPr>
          <w:p>
            <w:pPr>
              <w:snapToGrid w:val="0"/>
              <w:jc w:val="center"/>
              <w:rPr>
                <w:rFonts w:asciiTheme="minorEastAsia" w:hAnsiTheme="minorEastAsia" w:eastAsiaTheme="minorEastAsia" w:cstheme="minorEastAsia"/>
                <w:sz w:val="21"/>
                <w:szCs w:val="21"/>
              </w:rPr>
            </w:pPr>
          </w:p>
        </w:tc>
        <w:tc>
          <w:tcPr>
            <w:tcW w:w="524" w:type="dxa"/>
            <w:tcBorders>
              <w:top w:val="single" w:color="000000" w:sz="4" w:space="0"/>
              <w:left w:val="single" w:color="auto" w:sz="4" w:space="0"/>
              <w:bottom w:val="single" w:color="000000" w:sz="4" w:space="0"/>
              <w:right w:val="single" w:color="000000" w:sz="4" w:space="0"/>
            </w:tcBorders>
            <w:shd w:val="clear" w:color="auto" w:fill="F2F2F2"/>
            <w:vAlign w:val="center"/>
          </w:tcPr>
          <w:p>
            <w:pPr>
              <w:snapToGrid w:val="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社会</w:t>
            </w:r>
          </w:p>
        </w:tc>
        <w:tc>
          <w:tcPr>
            <w:tcW w:w="1840" w:type="dxa"/>
            <w:tcBorders>
              <w:top w:val="single" w:color="000000" w:sz="4" w:space="0"/>
              <w:left w:val="single" w:color="000000" w:sz="4" w:space="0"/>
              <w:bottom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文化交流、企业文化交流等</w:t>
            </w:r>
          </w:p>
        </w:tc>
        <w:tc>
          <w:tcPr>
            <w:tcW w:w="2269" w:type="dxa"/>
            <w:tcBorders>
              <w:top w:val="single" w:color="000000" w:sz="4" w:space="0"/>
              <w:left w:val="single" w:color="000000" w:sz="4" w:space="0"/>
              <w:bottom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社会贡献、企业使命、企业愿景、党建文化</w:t>
            </w:r>
          </w:p>
        </w:tc>
        <w:tc>
          <w:tcPr>
            <w:tcW w:w="1721" w:type="dxa"/>
            <w:tcBorders>
              <w:top w:val="single" w:color="000000" w:sz="4" w:space="0"/>
              <w:left w:val="single" w:color="000000" w:sz="4" w:space="0"/>
              <w:bottom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文化之旅、党建文化访问、企业文化访问</w:t>
            </w:r>
          </w:p>
        </w:tc>
        <w:tc>
          <w:tcPr>
            <w:tcW w:w="2211" w:type="dxa"/>
            <w:tcBorders>
              <w:top w:val="single" w:color="000000" w:sz="4" w:space="0"/>
              <w:left w:val="single" w:color="000000" w:sz="4" w:space="0"/>
              <w:bottom w:val="single" w:color="000000" w:sz="4" w:space="0"/>
              <w:right w:val="single" w:color="000000" w:sz="4" w:space="0"/>
            </w:tcBorders>
            <w:shd w:val="clear" w:color="auto" w:fill="F2F2F2"/>
            <w:vAlign w:val="center"/>
          </w:tcPr>
          <w:p>
            <w:pPr>
              <w:snapToGrid w:val="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提升社会知名度、交流接待数量</w:t>
            </w:r>
          </w:p>
        </w:tc>
      </w:tr>
    </w:tbl>
    <w:p>
      <w:pPr>
        <w:pStyle w:val="4"/>
        <w:spacing w:before="166" w:line="386" w:lineRule="auto"/>
        <w:ind w:right="359" w:firstLine="480"/>
        <w:jc w:val="both"/>
      </w:pPr>
      <w:r>
        <w:rPr>
          <w:rFonts w:hint="eastAsia"/>
        </w:rPr>
        <w:t>公司将“企业文化培训”作为新员工入职学习内容之一，每年由高层领导亲自讲解和引导；公司通过宣传海报、微信公众号、企业文化手册、丰富多彩的企业文化活动等方式，将核心文化传播至各层次、各部门，营造浓郁的企业文化氛围。</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pPr>
      <w:r>
        <w:rPr>
          <w:rFonts w:hint="eastAsia"/>
          <w:lang w:val="en-US" w:eastAsia="zh-CN"/>
        </w:rPr>
        <w:t>2、</w:t>
      </w:r>
      <w:r>
        <w:rPr>
          <w:rFonts w:hint="eastAsia"/>
        </w:rPr>
        <w:t>与相关方进行沟通，激励员工以强化组织的方向和重点</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pPr>
      <w:r>
        <w:rPr>
          <w:rFonts w:hint="eastAsia"/>
        </w:rPr>
        <w:t>1）加强与员工及其他相关方的沟通</w:t>
      </w:r>
    </w:p>
    <w:p>
      <w:pPr>
        <w:pStyle w:val="4"/>
        <w:spacing w:before="166" w:line="386" w:lineRule="auto"/>
        <w:ind w:right="359" w:firstLine="480"/>
        <w:jc w:val="both"/>
      </w:pPr>
      <w:r>
        <w:rPr>
          <w:rFonts w:hint="eastAsia"/>
        </w:rPr>
        <w:t>公司通过多种方式向员工、客户、供应商等利益相关方传播企业文化，激励企业全员为实现公司战略目标而努力，也促使相关方充分理解公司经营理念。</w:t>
      </w:r>
    </w:p>
    <w:p>
      <w:pPr>
        <w:pStyle w:val="4"/>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20" w:firstLineChars="200"/>
        <w:jc w:val="center"/>
        <w:textAlignment w:val="auto"/>
        <w:rPr>
          <w:sz w:val="21"/>
          <w:szCs w:val="21"/>
        </w:rPr>
      </w:pPr>
      <w:r>
        <w:rPr>
          <w:rFonts w:hint="eastAsia"/>
          <w:sz w:val="21"/>
          <w:szCs w:val="21"/>
        </w:rPr>
        <w:t>表</w:t>
      </w:r>
      <w:r>
        <w:rPr>
          <w:rFonts w:hint="eastAsia"/>
          <w:sz w:val="21"/>
          <w:szCs w:val="21"/>
          <w:lang w:val="en-US"/>
        </w:rPr>
        <w:t>2</w:t>
      </w:r>
      <w:r>
        <w:rPr>
          <w:rFonts w:hint="eastAsia"/>
          <w:sz w:val="21"/>
          <w:szCs w:val="21"/>
        </w:rPr>
        <w:t>.1-</w:t>
      </w:r>
      <w:r>
        <w:rPr>
          <w:sz w:val="21"/>
          <w:szCs w:val="21"/>
        </w:rPr>
        <w:fldChar w:fldCharType="begin"/>
      </w:r>
      <w:r>
        <w:rPr>
          <w:rFonts w:hint="eastAsia"/>
          <w:sz w:val="21"/>
          <w:szCs w:val="21"/>
        </w:rPr>
        <w:instrText xml:space="preserve">SEQ 图表4.1- \* ARABIC</w:instrText>
      </w:r>
      <w:r>
        <w:rPr>
          <w:sz w:val="21"/>
          <w:szCs w:val="21"/>
        </w:rPr>
        <w:fldChar w:fldCharType="separate"/>
      </w:r>
      <w:r>
        <w:rPr>
          <w:sz w:val="21"/>
          <w:szCs w:val="21"/>
        </w:rPr>
        <w:t>3</w:t>
      </w:r>
      <w:r>
        <w:rPr>
          <w:sz w:val="21"/>
          <w:szCs w:val="21"/>
        </w:rPr>
        <w:fldChar w:fldCharType="end"/>
      </w:r>
      <w:r>
        <w:rPr>
          <w:rFonts w:hint="eastAsia"/>
          <w:sz w:val="21"/>
          <w:szCs w:val="21"/>
        </w:rPr>
        <w:t xml:space="preserve"> 公司与相关方双向沟通方式</w:t>
      </w:r>
    </w:p>
    <w:tbl>
      <w:tblPr>
        <w:tblStyle w:val="10"/>
        <w:tblW w:w="90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79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101" w:type="dxa"/>
            <w:shd w:val="clear" w:color="auto" w:fill="548DD4" w:themeFill="text2" w:themeFillTint="99"/>
            <w:vAlign w:val="center"/>
          </w:tcPr>
          <w:p>
            <w:pPr>
              <w:jc w:val="center"/>
              <w:rPr>
                <w:rFonts w:ascii="微软雅黑" w:hAnsi="微软雅黑" w:eastAsia="微软雅黑" w:cs="Calibri"/>
                <w:b/>
                <w:sz w:val="21"/>
                <w:szCs w:val="21"/>
              </w:rPr>
            </w:pPr>
            <w:r>
              <w:rPr>
                <w:rFonts w:hint="eastAsia" w:ascii="微软雅黑" w:hAnsi="微软雅黑" w:eastAsia="微软雅黑" w:cs="Calibri"/>
                <w:b/>
                <w:sz w:val="21"/>
                <w:szCs w:val="21"/>
              </w:rPr>
              <w:t>对象</w:t>
            </w:r>
          </w:p>
        </w:tc>
        <w:tc>
          <w:tcPr>
            <w:tcW w:w="7902" w:type="dxa"/>
            <w:shd w:val="clear" w:color="auto" w:fill="548DD4" w:themeFill="text2" w:themeFillTint="99"/>
            <w:vAlign w:val="center"/>
          </w:tcPr>
          <w:p>
            <w:pPr>
              <w:jc w:val="center"/>
              <w:rPr>
                <w:rFonts w:ascii="微软雅黑" w:hAnsi="微软雅黑" w:eastAsia="微软雅黑" w:cs="Calibri"/>
                <w:b/>
                <w:sz w:val="21"/>
                <w:szCs w:val="21"/>
              </w:rPr>
            </w:pPr>
            <w:r>
              <w:rPr>
                <w:rFonts w:hint="eastAsia" w:ascii="微软雅黑" w:hAnsi="微软雅黑" w:eastAsia="微软雅黑" w:cs="Calibri"/>
                <w:b/>
                <w:sz w:val="21"/>
                <w:szCs w:val="21"/>
              </w:rPr>
              <w:t>沟通方式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1" w:type="dxa"/>
            <w:vMerge w:val="restart"/>
            <w:shd w:val="clear" w:color="auto" w:fill="F2F2F2"/>
            <w:vAlign w:val="center"/>
          </w:tcPr>
          <w:p>
            <w:pPr>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员工</w:t>
            </w:r>
          </w:p>
        </w:tc>
        <w:tc>
          <w:tcPr>
            <w:tcW w:w="7902" w:type="dxa"/>
            <w:shd w:val="clear" w:color="auto" w:fill="F2F2F2"/>
            <w:vAlign w:val="center"/>
          </w:tcPr>
          <w:p>
            <w:pP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公司网站、《员工手册》、企业宣传册、企业文化墙、公司展厅、宣传片、宣传窗等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1" w:type="dxa"/>
            <w:vMerge w:val="continue"/>
            <w:shd w:val="clear" w:color="auto" w:fill="F2F2F2"/>
          </w:tcPr>
          <w:p>
            <w:pPr>
              <w:rPr>
                <w:rFonts w:asciiTheme="minorEastAsia" w:hAnsiTheme="minorEastAsia" w:eastAsiaTheme="minorEastAsia" w:cstheme="minorEastAsia"/>
                <w:sz w:val="21"/>
                <w:szCs w:val="21"/>
              </w:rPr>
            </w:pPr>
          </w:p>
        </w:tc>
        <w:tc>
          <w:tcPr>
            <w:tcW w:w="7902" w:type="dxa"/>
            <w:shd w:val="clear" w:color="auto" w:fill="F2F2F2"/>
            <w:vAlign w:val="center"/>
          </w:tcPr>
          <w:p>
            <w:pP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电话、QQ、微信平台、电子邮件系统等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1" w:type="dxa"/>
            <w:vMerge w:val="continue"/>
            <w:shd w:val="clear" w:color="auto" w:fill="F2F2F2"/>
          </w:tcPr>
          <w:p>
            <w:pPr>
              <w:rPr>
                <w:rFonts w:asciiTheme="minorEastAsia" w:hAnsiTheme="minorEastAsia" w:eastAsiaTheme="minorEastAsia" w:cstheme="minorEastAsia"/>
                <w:sz w:val="21"/>
                <w:szCs w:val="21"/>
              </w:rPr>
            </w:pPr>
          </w:p>
        </w:tc>
        <w:tc>
          <w:tcPr>
            <w:tcW w:w="7902" w:type="dxa"/>
            <w:shd w:val="clear" w:color="auto" w:fill="F2F2F2"/>
            <w:vAlign w:val="center"/>
          </w:tcPr>
          <w:p>
            <w:pP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新员工入职培训、企业文化培训、素质拓展训练、专业培训、技能培训等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1" w:type="dxa"/>
            <w:vMerge w:val="continue"/>
            <w:shd w:val="clear" w:color="auto" w:fill="F2F2F2"/>
          </w:tcPr>
          <w:p>
            <w:pPr>
              <w:rPr>
                <w:rFonts w:asciiTheme="minorEastAsia" w:hAnsiTheme="minorEastAsia" w:eastAsiaTheme="minorEastAsia" w:cstheme="minorEastAsia"/>
                <w:sz w:val="21"/>
                <w:szCs w:val="21"/>
              </w:rPr>
            </w:pPr>
          </w:p>
        </w:tc>
        <w:tc>
          <w:tcPr>
            <w:tcW w:w="7902" w:type="dxa"/>
            <w:shd w:val="clear" w:color="auto" w:fill="F2F2F2"/>
            <w:vAlign w:val="center"/>
          </w:tcPr>
          <w:p>
            <w:pP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职工活动、联谊活动、文艺活动、旅游活动、公益活动等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1" w:type="dxa"/>
            <w:vMerge w:val="continue"/>
            <w:shd w:val="clear" w:color="auto" w:fill="F2F2F2"/>
          </w:tcPr>
          <w:p>
            <w:pPr>
              <w:rPr>
                <w:rFonts w:asciiTheme="minorEastAsia" w:hAnsiTheme="minorEastAsia" w:eastAsiaTheme="minorEastAsia" w:cstheme="minorEastAsia"/>
                <w:sz w:val="21"/>
                <w:szCs w:val="21"/>
              </w:rPr>
            </w:pPr>
          </w:p>
        </w:tc>
        <w:tc>
          <w:tcPr>
            <w:tcW w:w="7902" w:type="dxa"/>
            <w:shd w:val="clear" w:color="auto" w:fill="F2F2F2"/>
            <w:vAlign w:val="center"/>
          </w:tcPr>
          <w:p>
            <w:pP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周例会、生产例会、营销例会、月度总结大会、年度总结大会等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1" w:type="dxa"/>
            <w:shd w:val="clear" w:color="auto" w:fill="F2F2F2"/>
            <w:vAlign w:val="center"/>
          </w:tcPr>
          <w:p>
            <w:pPr>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顾客</w:t>
            </w:r>
          </w:p>
        </w:tc>
        <w:tc>
          <w:tcPr>
            <w:tcW w:w="7902" w:type="dxa"/>
            <w:shd w:val="clear" w:color="auto" w:fill="F2F2F2"/>
            <w:vAlign w:val="center"/>
          </w:tcPr>
          <w:p>
            <w:pP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网站、展会沟通、企业宣传册、广告宣传、传真、电子邮件、新闻媒体、行业杂志、客户服务热线、、现场走访等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1" w:type="dxa"/>
            <w:shd w:val="clear" w:color="auto" w:fill="F2F2F2"/>
            <w:vAlign w:val="center"/>
          </w:tcPr>
          <w:p>
            <w:pPr>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供应商</w:t>
            </w:r>
          </w:p>
        </w:tc>
        <w:tc>
          <w:tcPr>
            <w:tcW w:w="7902" w:type="dxa"/>
            <w:shd w:val="clear" w:color="auto" w:fill="F2F2F2"/>
            <w:vAlign w:val="center"/>
          </w:tcPr>
          <w:p>
            <w:pP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供应商实地考察、供应商评选、供应商会议、电话沟通、电子邮件等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1" w:type="dxa"/>
            <w:shd w:val="clear" w:color="auto" w:fill="F2F2F2"/>
            <w:vAlign w:val="center"/>
          </w:tcPr>
          <w:p>
            <w:pPr>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合作伙伴 </w:t>
            </w:r>
          </w:p>
        </w:tc>
        <w:tc>
          <w:tcPr>
            <w:tcW w:w="7902" w:type="dxa"/>
            <w:shd w:val="clear" w:color="auto" w:fill="F2F2F2"/>
            <w:vAlign w:val="center"/>
          </w:tcPr>
          <w:p>
            <w:pP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网站、新闻媒体、行业协会活动、项目开发等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1" w:type="dxa"/>
            <w:shd w:val="clear" w:color="auto" w:fill="F2F2F2"/>
            <w:vAlign w:val="center"/>
          </w:tcPr>
          <w:p>
            <w:pPr>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政府</w:t>
            </w:r>
          </w:p>
          <w:p>
            <w:pPr>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公众</w:t>
            </w:r>
          </w:p>
        </w:tc>
        <w:tc>
          <w:tcPr>
            <w:tcW w:w="7902" w:type="dxa"/>
            <w:shd w:val="clear" w:color="auto" w:fill="F2F2F2"/>
            <w:vAlign w:val="center"/>
          </w:tcPr>
          <w:p>
            <w:pP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工作汇报、项目评审、参观指导、接待相关人员来访、参加公益活动、慈善捐赠等、</w:t>
            </w:r>
          </w:p>
          <w:p>
            <w:pP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网站、企业刊物、宣传册、宣传片等</w:t>
            </w:r>
          </w:p>
        </w:tc>
      </w:tr>
    </w:tbl>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pPr>
      <w:r>
        <w:rPr>
          <w:rFonts w:hint="eastAsia"/>
        </w:rPr>
        <w:t>2）激励员工以强化组织发展</w:t>
      </w:r>
    </w:p>
    <w:p>
      <w:pPr>
        <w:pStyle w:val="4"/>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pPr>
      <w:r>
        <w:rPr>
          <w:rFonts w:hint="eastAsia"/>
        </w:rPr>
        <w:t>为了激励员工的正确行为，公司从文化、制度和活动多方面进行了激励，鼓励员工的行为符合公司发展方向。</w:t>
      </w:r>
    </w:p>
    <w:p>
      <w:pPr>
        <w:keepNext w:val="0"/>
        <w:keepLines w:val="0"/>
        <w:pageBreakBefore w:val="0"/>
        <w:widowControl w:val="0"/>
        <w:kinsoku/>
        <w:wordWrap/>
        <w:overflowPunct/>
        <w:topLinePunct w:val="0"/>
        <w:autoSpaceDE w:val="0"/>
        <w:autoSpaceDN w:val="0"/>
        <w:bidi w:val="0"/>
        <w:adjustRightInd w:val="0"/>
        <w:snapToGrid/>
        <w:spacing w:line="360" w:lineRule="auto"/>
        <w:ind w:left="0" w:right="0" w:firstLine="480" w:firstLineChars="200"/>
        <w:textAlignment w:val="auto"/>
        <w:rPr>
          <w:sz w:val="24"/>
          <w:szCs w:val="24"/>
          <w:highlight w:val="none"/>
        </w:rPr>
      </w:pPr>
      <w:r>
        <w:rPr>
          <w:rFonts w:hint="eastAsia"/>
          <w:sz w:val="24"/>
          <w:szCs w:val="24"/>
          <w:highlight w:val="none"/>
        </w:rPr>
        <w:t>文化激励：</w:t>
      </w:r>
      <w:r>
        <w:rPr>
          <w:rFonts w:hint="eastAsia"/>
          <w:sz w:val="24"/>
          <w:szCs w:val="24"/>
          <w:highlight w:val="none"/>
          <w:lang w:val="en-US" w:eastAsia="zh-CN"/>
        </w:rPr>
        <w:t>雷丰</w:t>
      </w:r>
      <w:r>
        <w:rPr>
          <w:rFonts w:hint="eastAsia"/>
          <w:sz w:val="24"/>
          <w:szCs w:val="24"/>
          <w:highlight w:val="none"/>
        </w:rPr>
        <w:t>人以“</w:t>
      </w:r>
      <w:r>
        <w:rPr>
          <w:rFonts w:hint="eastAsia" w:cs="Arial" w:asciiTheme="minorEastAsia" w:hAnsiTheme="minorEastAsia" w:eastAsiaTheme="minorEastAsia"/>
          <w:b w:val="0"/>
          <w:bCs w:val="0"/>
          <w:color w:val="000000" w:themeColor="text1"/>
          <w:sz w:val="24"/>
          <w:szCs w:val="24"/>
          <w:lang w:val="en-US" w:eastAsia="zh-CN"/>
          <w14:textFill>
            <w14:solidFill>
              <w14:schemeClr w14:val="tx1"/>
            </w14:solidFill>
          </w14:textFill>
        </w:rPr>
        <w:t>科学管理，规范操作，持续改进，顾客满意</w:t>
      </w:r>
      <w:r>
        <w:rPr>
          <w:rFonts w:hint="eastAsia"/>
          <w:sz w:val="24"/>
          <w:szCs w:val="24"/>
          <w:highlight w:val="none"/>
        </w:rPr>
        <w:t>”为宗旨，坚持“遵守国家、地方环境法律法规；坚持防治结合，不断改进，实现公司持续发展；提高环境意识，保护优美环境。”努力营造以人为本、和谐共事、快乐工作、激情创业、健康生活的氛围，真正形成团结和谐谋发展、众志成城创大业的合力，实现企业和员工的文明、和谐、科学、有效的发展。正确、扎实、快速、有效应该是</w:t>
      </w:r>
      <w:r>
        <w:rPr>
          <w:rFonts w:hint="eastAsia"/>
          <w:sz w:val="24"/>
          <w:szCs w:val="24"/>
          <w:highlight w:val="none"/>
          <w:lang w:eastAsia="zh-CN"/>
        </w:rPr>
        <w:t>雷丰</w:t>
      </w:r>
      <w:r>
        <w:rPr>
          <w:rFonts w:hint="eastAsia"/>
          <w:sz w:val="24"/>
          <w:szCs w:val="24"/>
          <w:highlight w:val="none"/>
        </w:rPr>
        <w:t>的工作风格，在保证事情做对的前提下，实现行事高品质、高效率、低成本，那最后的高效益就会成为必然。</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制度激励：公司制定了员工手册，规范员工行为，并通过制定各种奖励制度，鼓励员工表现公司期待的行为。如供应商管理制度、廉政文化建设制度等。</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物质激励：为鼓励全体员工实现卓越绩效的活动，强化公司未来的发展方向和发展重点，公司设立了优秀员工、优秀团队、创新奖等荣誉，为员工的优秀表现给予精神奖励及物质奖励。在供应商与顾客方面，公司定期评级，根据评级结果相应提供增值性服务，以增进双方友谊，朝着对双方都有利的方向迈进。</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c）营造良好的内部经营环境</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1）创造诚信守法的环境</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公司高层领导致力于营造守法重德的环境，坚持诚信经营、遵纪守法、依法纳税。公司每年组织各部门开展法律法规监督与检查，严格遵守国家的法律法规，建立商业行为准则和员工商业行为规范。公司一直践行廉政文化，逐步完善制度，规范公司及员工行为。此外，公司定期接受国</w:t>
      </w:r>
      <w:r>
        <w:rPr>
          <w:rFonts w:hint="eastAsia"/>
          <w:lang w:val="en-US" w:eastAsia="zh-CN"/>
        </w:rPr>
        <w:t>内</w:t>
      </w:r>
      <w:r>
        <w:rPr>
          <w:rFonts w:hint="eastAsia"/>
        </w:rPr>
        <w:t>多家知名品牌客户验厂，不断完善诚信守法体系。</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公司通过各种方式对合作方实施影响，例如，公司以合同的形式规范供应商行为，通过对供应商的审计评价，认定其供应资格。</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公司坚信诚为做人之源，信为立业之本是企业做大做强的根本，求真务实的思想作风是企业对社会、客户、员工等责任承诺的保障基础。在公司内部企业、部门、员工之间都要讲诚信、守承诺，相互信赖、相互支持；在外部则是做事业要务实，注重长期经营，坚持合作共赢，承担社会责任，关注节能环保问题。</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2）</w:t>
      </w:r>
      <w:r>
        <w:t>创建有利</w:t>
      </w:r>
      <w:r>
        <w:rPr>
          <w:rFonts w:hint="eastAsia"/>
        </w:rPr>
        <w:t>于改进和</w:t>
      </w:r>
      <w:r>
        <w:t>创新的环境</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lang w:eastAsia="zh-CN"/>
        </w:rPr>
        <w:t>雷丰</w:t>
      </w:r>
      <w:r>
        <w:t>的快速发展离不开</w:t>
      </w:r>
      <w:r>
        <w:rPr>
          <w:rFonts w:hint="eastAsia"/>
        </w:rPr>
        <w:t>总经理</w:t>
      </w:r>
      <w:r>
        <w:t>的</w:t>
      </w:r>
      <w:r>
        <w:rPr>
          <w:rFonts w:hint="eastAsia"/>
        </w:rPr>
        <w:t>不断创新的思维和实践，正是由于</w:t>
      </w:r>
      <w:r>
        <w:rPr>
          <w:rFonts w:hint="eastAsia"/>
          <w:lang w:eastAsia="zh-CN"/>
        </w:rPr>
        <w:t>雷丰</w:t>
      </w:r>
      <w:r>
        <w:rPr>
          <w:rFonts w:hint="eastAsia"/>
        </w:rPr>
        <w:t>的发展动力来自于源源不断的创新，使得创新意识已植根于企业文化，并不断促进公司的发展。</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科技创新环境的营造</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公司在多年的经营过程中不断契合消费者需求，追求产品时尚、新颖等方面的创新，追求产品高标准高质量。公司新产品开发以市场需求为坐标，了解市场的需求和用户的心理，以此研发新的产品，开拓新的消费需求领域。</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公司建立了完善的财务分析制度，充分收集有关财务、销售、市场、技术、政策、法律等方面的有关信息资料，根据不同情况分别采用比较分析、因素分析、平衡分析等方法。公司每月召开资金分析会议，分析预算执行情况、财务收入、费用、利润的预算完成情况及资金日常使用的执行情况。跟踪检查月度资金计划执行情况，有效控制资金使用，使公司实时掌握资金情况并根据各种需求做出调整。</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在人员激励上，为鼓励研发人员的创造性，企业制订相应的激励措施，对围绕企业生产能力有关产品，新开发研究成功的全新产品，直接给予资金奖励。同时，将产品的新创意、新技艺等方面列入</w:t>
      </w:r>
      <w:r>
        <w:rPr>
          <w:rFonts w:hint="eastAsia"/>
          <w:lang w:val="en-US" w:eastAsia="zh-CN"/>
        </w:rPr>
        <w:t>技术部</w:t>
      </w:r>
      <w:r>
        <w:rPr>
          <w:rFonts w:hint="eastAsia"/>
        </w:rPr>
        <w:t>人员月绩效考核的指标内容，极大地调动了研发人员致力新产品开发和研制的工作热情。</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管理创新环境的营造</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管理创新：此外，为</w:t>
      </w:r>
      <w:r>
        <w:t>推进企业</w:t>
      </w:r>
      <w:r>
        <w:rPr>
          <w:rFonts w:hint="eastAsia"/>
        </w:rPr>
        <w:t>生产经营、技术创新、制度建设、内部管理等，公司制定了员工合理化建议管理制度，规定合理化建议范围及奖励方式等。该管理办法</w:t>
      </w:r>
      <w:r>
        <w:t>为员工合理化建议提供了良好的实施环境，极大地鼓舞了员工争做创新标杆的士气。</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企业内部有利于改进和创新环境的建立，使企业产品质量、服务以及内部管理有了新的提高，品牌效益初步显现。</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3）营造快速反应的环境</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rPr>
          <w:highlight w:val="none"/>
        </w:rPr>
      </w:pPr>
      <w:r>
        <w:rPr>
          <w:rFonts w:hint="eastAsia"/>
          <w:highlight w:val="none"/>
          <w:lang w:val="en-US" w:eastAsia="zh-CN"/>
        </w:rPr>
        <w:t>雷丰</w:t>
      </w:r>
      <w:r>
        <w:rPr>
          <w:rFonts w:hint="eastAsia"/>
          <w:highlight w:val="none"/>
        </w:rPr>
        <w:t>秉持“反应迅速、计划周密、执行有力”的行事理念高效处理各项事务。高层领导以顾客和市场、员工为中心，推行“快速反应”的管理原则，建立快速反应机制。</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rPr>
          <w:highlight w:val="none"/>
        </w:rPr>
      </w:pPr>
      <w:r>
        <w:rPr>
          <w:rFonts w:hint="eastAsia"/>
          <w:highlight w:val="none"/>
        </w:rPr>
        <w:t>对于内部员工，建立覆盖各种紧急情况的应急预案，并开展应急演练，培育员工的危机处理意识和能力，实现对意外情况的快速处理，例如顾客投诉应急处理预案、火灾、停电等紧急处理预案等。</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highlight w:val="none"/>
        </w:rPr>
        <w:t>在组织结构方面，建立扁平化的组织结构，通过缩短指令向下传达或信息向上</w:t>
      </w:r>
      <w:r>
        <w:rPr>
          <w:rFonts w:hint="eastAsia"/>
        </w:rPr>
        <w:t>传递的层级，提升组织的响应速度，通过构建信息化办公系统，为实现将财务、销售、采购、物流、生产等核心业务实现一体化管理，持续高效运营，识别和开发并及时、准确的获取相关信息和知识资源，</w:t>
      </w:r>
      <w:r>
        <w:rPr>
          <w:rFonts w:hint="eastAsia" w:ascii="Arial" w:hAnsi="Arial"/>
          <w:szCs w:val="22"/>
        </w:rPr>
        <w:t>项目攻关</w:t>
      </w:r>
      <w:r>
        <w:rPr>
          <w:rFonts w:hint="eastAsia"/>
        </w:rPr>
        <w:t>等</w:t>
      </w:r>
      <w:r>
        <w:t>方式</w:t>
      </w:r>
      <w:r>
        <w:rPr>
          <w:rFonts w:hint="eastAsia"/>
        </w:rPr>
        <w:t>，实现信息资源有效传递和应用，科学、高效</w:t>
      </w:r>
      <w:r>
        <w:t>的</w:t>
      </w:r>
      <w:r>
        <w:rPr>
          <w:rFonts w:hint="eastAsia"/>
        </w:rPr>
        <w:t>资源</w:t>
      </w:r>
      <w:r>
        <w:t>管理</w:t>
      </w:r>
      <w:r>
        <w:rPr>
          <w:rFonts w:hint="eastAsia"/>
        </w:rPr>
        <w:t>成为公司持续</w:t>
      </w:r>
      <w:r>
        <w:t>、稳定发展</w:t>
      </w:r>
      <w:r>
        <w:rPr>
          <w:rFonts w:hint="eastAsia"/>
        </w:rPr>
        <w:t>，以及</w:t>
      </w:r>
      <w:r>
        <w:t>提升</w:t>
      </w:r>
      <w:r>
        <w:rPr>
          <w:rFonts w:hint="eastAsia"/>
        </w:rPr>
        <w:t>核心</w:t>
      </w:r>
      <w:r>
        <w:t>竞争</w:t>
      </w:r>
      <w:r>
        <w:rPr>
          <w:rFonts w:hint="eastAsia"/>
        </w:rPr>
        <w:t>的</w:t>
      </w:r>
      <w:r>
        <w:t>有力保障</w:t>
      </w:r>
      <w:r>
        <w:rPr>
          <w:rFonts w:hint="eastAsia"/>
        </w:rPr>
        <w:t>。</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在工作方面，通过优化业务流程，引进先进的软硬件和技术人才，提升新品的开发速度。目前，公司新产品开发速度在业内处于领先水平。针对外部事件，及时进行危机处理，召开营销会议等活动进行应急战略、战术调整，高效对各环境变化做出反应。</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4）营造全员学习的环境</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公司领导非常重视员工的培训和学习，积极建设学习型组织，构建了“多层级培训发展体系”，针对高层、中层、基层、专业人员、新员工等开展丰富多样的培训活动。并采用外派与内训、线上线下相结合方式给予员工最全面、便捷的学习途径。为了创造一个更好的环境，公司</w:t>
      </w:r>
      <w:r>
        <w:t>配备</w:t>
      </w:r>
      <w:r>
        <w:rPr>
          <w:rFonts w:hint="eastAsia"/>
        </w:rPr>
        <w:t>了</w:t>
      </w:r>
      <w:r>
        <w:t>先进的多媒体教学设施，宽敞舒适的学习环境，完善的培训教学的软件资源。</w:t>
      </w:r>
    </w:p>
    <w:p>
      <w:pPr>
        <w:pStyle w:val="4"/>
        <w:keepNext w:val="0"/>
        <w:keepLines w:val="0"/>
        <w:pageBreakBefore w:val="0"/>
        <w:widowControl w:val="0"/>
        <w:kinsoku/>
        <w:wordWrap/>
        <w:overflowPunct/>
        <w:topLinePunct w:val="0"/>
        <w:autoSpaceDE w:val="0"/>
        <w:autoSpaceDN w:val="0"/>
        <w:bidi w:val="0"/>
        <w:snapToGrid/>
        <w:spacing w:line="360" w:lineRule="auto"/>
        <w:ind w:left="0" w:right="0" w:firstLine="480" w:firstLineChars="200"/>
        <w:jc w:val="both"/>
        <w:textAlignment w:val="auto"/>
      </w:pPr>
      <w:r>
        <w:rPr>
          <w:rFonts w:hint="eastAsia"/>
        </w:rPr>
        <w:t>为保证准确的识别培训需求、制定并实施培训计划，公司每年发放《公司员工培训需求调查表》，以此收集各部门员工的培训需求，并以此制定培训计划。依据总体培训规划，公司明确了分级培训体系，分别针对高管人员、中层人员和基层人员确定相应的培训内容及培训方式，使得培训项目的实施更加符合公司整体战略发展规划。</w:t>
      </w:r>
    </w:p>
    <w:p>
      <w:pPr>
        <w:pStyle w:val="4"/>
        <w:keepNext w:val="0"/>
        <w:keepLines w:val="0"/>
        <w:pageBreakBefore w:val="0"/>
        <w:kinsoku/>
        <w:wordWrap/>
        <w:overflowPunct/>
        <w:topLinePunct w:val="0"/>
        <w:autoSpaceDE w:val="0"/>
        <w:autoSpaceDN w:val="0"/>
        <w:bidi w:val="0"/>
        <w:spacing w:line="360" w:lineRule="auto"/>
        <w:ind w:left="0" w:right="0" w:firstLine="420" w:firstLineChars="200"/>
        <w:jc w:val="center"/>
        <w:textAlignment w:val="auto"/>
        <w:rPr>
          <w:sz w:val="21"/>
          <w:szCs w:val="21"/>
        </w:rPr>
      </w:pPr>
      <w:r>
        <w:rPr>
          <w:rFonts w:hint="eastAsia"/>
          <w:sz w:val="21"/>
          <w:szCs w:val="21"/>
        </w:rPr>
        <w:t>表</w:t>
      </w:r>
      <w:r>
        <w:rPr>
          <w:rFonts w:hint="eastAsia"/>
          <w:sz w:val="21"/>
          <w:szCs w:val="21"/>
          <w:lang w:val="en-US"/>
        </w:rPr>
        <w:t>2</w:t>
      </w:r>
      <w:r>
        <w:rPr>
          <w:rFonts w:hint="eastAsia"/>
          <w:sz w:val="21"/>
          <w:szCs w:val="21"/>
        </w:rPr>
        <w:t>.1-</w:t>
      </w:r>
      <w:r>
        <w:rPr>
          <w:sz w:val="21"/>
          <w:szCs w:val="21"/>
        </w:rPr>
        <w:fldChar w:fldCharType="begin"/>
      </w:r>
      <w:r>
        <w:rPr>
          <w:rFonts w:hint="eastAsia"/>
          <w:sz w:val="21"/>
          <w:szCs w:val="21"/>
        </w:rPr>
        <w:instrText xml:space="preserve">SEQ 图表4.1- \* ARABIC</w:instrText>
      </w:r>
      <w:r>
        <w:rPr>
          <w:sz w:val="21"/>
          <w:szCs w:val="21"/>
        </w:rPr>
        <w:fldChar w:fldCharType="separate"/>
      </w:r>
      <w:r>
        <w:rPr>
          <w:sz w:val="21"/>
          <w:szCs w:val="21"/>
        </w:rPr>
        <w:t>4</w:t>
      </w:r>
      <w:r>
        <w:rPr>
          <w:sz w:val="21"/>
          <w:szCs w:val="21"/>
        </w:rPr>
        <w:fldChar w:fldCharType="end"/>
      </w:r>
      <w:r>
        <w:rPr>
          <w:rFonts w:hint="eastAsia"/>
          <w:sz w:val="21"/>
          <w:szCs w:val="21"/>
        </w:rPr>
        <w:t xml:space="preserve"> </w:t>
      </w:r>
      <w:r>
        <w:rPr>
          <w:sz w:val="21"/>
          <w:szCs w:val="21"/>
        </w:rPr>
        <w:t>培训层级体系表</w:t>
      </w:r>
    </w:p>
    <w:tbl>
      <w:tblPr>
        <w:tblStyle w:val="10"/>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4904"/>
        <w:gridCol w:w="2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blHeader/>
          <w:jc w:val="center"/>
        </w:trPr>
        <w:tc>
          <w:tcPr>
            <w:tcW w:w="1135" w:type="dxa"/>
            <w:shd w:val="clear" w:color="auto" w:fill="548DD4" w:themeFill="text2" w:themeFillTint="99"/>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微软雅黑" w:hAnsi="微软雅黑" w:eastAsia="微软雅黑"/>
                <w:b/>
                <w:sz w:val="21"/>
                <w:szCs w:val="21"/>
              </w:rPr>
            </w:pPr>
            <w:r>
              <w:rPr>
                <w:rFonts w:ascii="微软雅黑" w:hAnsi="微软雅黑" w:eastAsia="微软雅黑"/>
                <w:b/>
                <w:sz w:val="21"/>
                <w:szCs w:val="21"/>
              </w:rPr>
              <w:t>培训级别</w:t>
            </w:r>
          </w:p>
        </w:tc>
        <w:tc>
          <w:tcPr>
            <w:tcW w:w="4904" w:type="dxa"/>
            <w:shd w:val="clear" w:color="auto" w:fill="548DD4" w:themeFill="text2" w:themeFillTint="99"/>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微软雅黑" w:hAnsi="微软雅黑" w:eastAsia="微软雅黑"/>
                <w:b/>
                <w:sz w:val="21"/>
                <w:szCs w:val="21"/>
              </w:rPr>
            </w:pPr>
            <w:r>
              <w:rPr>
                <w:rFonts w:ascii="微软雅黑" w:hAnsi="微软雅黑" w:eastAsia="微软雅黑"/>
                <w:b/>
                <w:sz w:val="21"/>
                <w:szCs w:val="21"/>
              </w:rPr>
              <w:t>主要培训内容</w:t>
            </w:r>
          </w:p>
        </w:tc>
        <w:tc>
          <w:tcPr>
            <w:tcW w:w="2945" w:type="dxa"/>
            <w:shd w:val="clear" w:color="auto" w:fill="548DD4" w:themeFill="text2" w:themeFillTint="99"/>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微软雅黑" w:hAnsi="微软雅黑" w:eastAsia="微软雅黑"/>
                <w:b/>
                <w:sz w:val="21"/>
                <w:szCs w:val="21"/>
              </w:rPr>
            </w:pPr>
            <w:r>
              <w:rPr>
                <w:rFonts w:ascii="微软雅黑" w:hAnsi="微软雅黑" w:eastAsia="微软雅黑"/>
                <w:b/>
                <w:sz w:val="21"/>
                <w:szCs w:val="21"/>
              </w:rPr>
              <w:t>培训方式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jc w:val="center"/>
        </w:trPr>
        <w:tc>
          <w:tcPr>
            <w:tcW w:w="1135"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高管人员</w:t>
            </w:r>
          </w:p>
        </w:tc>
        <w:tc>
          <w:tcPr>
            <w:tcW w:w="4904"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侧重于观念、理念方面，此外还有市场经济所要求的系统管理理论和技能，如管理学、组织行为学、市场营销、企业经营战略、企业经营过程控制、领导科学与艺术等。</w:t>
            </w:r>
          </w:p>
        </w:tc>
        <w:tc>
          <w:tcPr>
            <w:tcW w:w="2945"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以外派培训为主。诸如，有计划地安排高层管理者参加MBA学习、总裁高级研修班、高级论坛、赴外地考察等等。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135"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中层人员</w:t>
            </w:r>
          </w:p>
        </w:tc>
        <w:tc>
          <w:tcPr>
            <w:tcW w:w="4904"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管理基本知识与技能：管理学、组织行为学、人力资源开发与管理、市场学、领导科学与艺术等课程。</w:t>
            </w: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业务知识与技能：负责的业务领域如技术、销售等领域的知识与技能。</w:t>
            </w:r>
          </w:p>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工作改进：工作分配、工作方法的改进、工作流程的改进。</w:t>
            </w:r>
          </w:p>
        </w:tc>
        <w:tc>
          <w:tcPr>
            <w:tcW w:w="2945"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以公司内训为主，外训为辅。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135"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center"/>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基层人员</w:t>
            </w:r>
          </w:p>
        </w:tc>
        <w:tc>
          <w:tcPr>
            <w:tcW w:w="4904"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针对在岗员工岗位职责、专业技能、操作规程、业务流程等进行反复强化培训，以使员工在充分掌握理论的基础上，能自由地应用、发挥、提高。</w:t>
            </w:r>
          </w:p>
        </w:tc>
        <w:tc>
          <w:tcPr>
            <w:tcW w:w="2945"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参考中层管理人员。</w:t>
            </w:r>
          </w:p>
        </w:tc>
      </w:tr>
    </w:tbl>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此外，公司还注重员工自我学习氛围的构建，强调员工在工作之余不断自我学习的重要性，以此培育“与时俱进”的学习文化。</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d）履行确保组织所提供产品和服务质量安全的责任</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在</w:t>
      </w:r>
      <w:r>
        <w:rPr>
          <w:rFonts w:hint="eastAsia"/>
          <w:lang w:val="en-US" w:eastAsia="zh-CN"/>
        </w:rPr>
        <w:t>模具、塑料制品、塑料加工</w:t>
      </w:r>
      <w:r>
        <w:rPr>
          <w:rFonts w:hint="eastAsia"/>
        </w:rPr>
        <w:t>领域，产品品质、技术创新有着同等重要的位置，追求卓越的产品品质和领先的研发技术是一条漫长的道路。</w:t>
      </w:r>
      <w:r>
        <w:rPr>
          <w:rFonts w:hint="eastAsia"/>
          <w:lang w:eastAsia="zh-CN"/>
        </w:rPr>
        <w:t>雷丰</w:t>
      </w:r>
      <w:r>
        <w:rPr>
          <w:rFonts w:hint="eastAsia"/>
        </w:rPr>
        <w:t>在坚持不懈中，高层领导始终坚持完善服务体系，努力提高产品品质，以市场规律为依据立足市场，在质和量的矛盾面前，确保产品质量再扩大产量、规模，以品质取胜。</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为履行确保组织所提供产品和服务的质量安全的职责，引导组织承担质量安全主体责任，</w:t>
      </w:r>
      <w:r>
        <w:t>公司</w:t>
      </w:r>
      <w:r>
        <w:rPr>
          <w:rFonts w:hint="eastAsia"/>
        </w:rPr>
        <w:t>从价值链角度对包括设计开发、采购、生产、质量管理、销售等涉及产品和服务质量安全的过程进行了梳理、识别和分析，并根据创新与效率原则对过程进行设计，充分运用绩效系统对过程的实施进行监控，关注过程输入与输出，持续改进，形成有效的PDCA循环。为了保证所设计的流程能够有效的执行，公司针对每一过程分别制定操作说明书，并定期进行考核与监控</w:t>
      </w:r>
      <w:r>
        <w:t>。</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公司内部导入并运行</w:t>
      </w:r>
      <w:r>
        <w:rPr>
          <w:rFonts w:hint="eastAsia"/>
          <w:lang w:val="en-US" w:eastAsia="zh-CN"/>
        </w:rPr>
        <w:t>GB/T19001-2016/IS09001 :2015</w:t>
      </w:r>
      <w:r>
        <w:rPr>
          <w:rFonts w:hint="eastAsia"/>
        </w:rPr>
        <w:t xml:space="preserve"> 和</w:t>
      </w:r>
      <w:r>
        <w:rPr>
          <w:rFonts w:hint="eastAsia"/>
          <w:lang w:val="en-US" w:eastAsia="zh-CN"/>
        </w:rPr>
        <w:t>GB/T24001-2016/IS014001:2015</w:t>
      </w:r>
      <w:r>
        <w:rPr>
          <w:rFonts w:hint="eastAsia"/>
        </w:rPr>
        <w:t>、</w:t>
      </w:r>
      <w:r>
        <w:rPr>
          <w:rFonts w:hint="eastAsia"/>
          <w:lang w:val="en-US" w:eastAsia="zh-CN"/>
        </w:rPr>
        <w:t>GB/T45001-2020/IS045001:2018</w:t>
      </w:r>
      <w:r>
        <w:rPr>
          <w:rFonts w:hint="eastAsia"/>
        </w:rPr>
        <w:t>质量管理体系，以质取胜，以创新拓市场，成为行业之标杆。在履行确保组织所提供产品和服务质量安全的责任方面，公司在原料采购上对各原材料实施订单协议收购，强化对采购原材料的检验及质量全过程控制。</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此外，公司</w:t>
      </w:r>
      <w:r>
        <w:t>完善的质量控制管理体系有效保证了产品质量的稳定</w:t>
      </w:r>
      <w:r>
        <w:rPr>
          <w:rFonts w:hint="eastAsia"/>
        </w:rPr>
        <w:t>，已制定了多项具体的质量控制措施，涵盖了从产品设计、原材料采购、产品制造、产品检验、性能测试、包装储运到客户服务等全过程等各个环节，对各部门的质量控制工作进行有效的指导和监督；同时，公司以满足客户要求作为标准，由各专门部门负责，认真抓好产品质量的持续改进工作。</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e）推进品牌建设，提高产品质量和服务水平</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为推进品牌建设，公司依据发展战略目标，制定了相应的品牌发展规划，通过积极参与行业协会活动、加大技术创新投入、完善渠道建设及售后服务等方式不断提高产品质量和服务水平。</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以品牌为基础，推进文化</w:t>
      </w:r>
      <w:r>
        <w:rPr>
          <w:rFonts w:hint="eastAsia"/>
          <w:lang w:val="en-US"/>
        </w:rPr>
        <w:t>建设</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公司成立之初便创建了自己的品牌</w:t>
      </w:r>
      <w:r>
        <w:rPr>
          <w:rFonts w:hint="eastAsia"/>
          <w:lang w:val="en-US"/>
        </w:rPr>
        <w:t>“</w:t>
      </w:r>
      <w:r>
        <w:rPr>
          <w:rFonts w:hint="eastAsia"/>
          <w:lang w:val="en-US" w:eastAsia="zh-CN"/>
        </w:rPr>
        <w:t>雷丰</w:t>
      </w:r>
      <w:r>
        <w:rPr>
          <w:rFonts w:hint="eastAsia"/>
          <w:lang w:val="en-US"/>
        </w:rPr>
        <w:t>”</w:t>
      </w:r>
      <w:r>
        <w:rPr>
          <w:rFonts w:hint="eastAsia"/>
        </w:rPr>
        <w:t>，一直致力于走自主品牌建设之路</w:t>
      </w:r>
      <w:r>
        <w:rPr>
          <w:rFonts w:hint="eastAsia"/>
          <w:lang w:eastAsia="zh-CN"/>
        </w:rPr>
        <w:t>，</w:t>
      </w:r>
      <w:r>
        <w:rPr>
          <w:rFonts w:hint="eastAsia"/>
        </w:rPr>
        <w:t>公司在品牌建设方面下足了功夫。</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f）强化风险意识以推动组织持续经营，积极培养组织未来的领导者</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1）提升风险管理意识，推动组织持续经营</w:t>
      </w:r>
    </w:p>
    <w:p>
      <w:pPr>
        <w:spacing w:line="360" w:lineRule="auto"/>
        <w:ind w:firstLine="480" w:firstLineChars="200"/>
        <w:rPr>
          <w:rFonts w:hint="eastAsia" w:ascii="宋体" w:hAnsi="宋体" w:eastAsia="宋体" w:cs="宋体"/>
          <w:sz w:val="24"/>
          <w:szCs w:val="24"/>
          <w:lang w:val="zh-CN" w:eastAsia="zh-CN" w:bidi="zh-CN"/>
        </w:rPr>
      </w:pPr>
      <w:r>
        <w:rPr>
          <w:rFonts w:hint="eastAsia" w:ascii="宋体" w:hAnsi="宋体" w:eastAsia="宋体" w:cs="宋体"/>
          <w:sz w:val="24"/>
          <w:szCs w:val="24"/>
          <w:lang w:val="zh-CN" w:eastAsia="zh-CN" w:bidi="zh-CN"/>
        </w:rPr>
        <w:t>公司创立至今，在取得众多成就的同时，不断强化风险意识，推动组织的持续经营。为此，公司经营管理团队严格把控各部门工作中可能存在的风险点，密切关注外部环境中的潜在风险因素，积极采取风险预防措施，在国家政策、市场需求、产品质量、财务资金、运营管理等方面严格推行风险监测与保持风险敏感性，高层领导不断向公司各级员工灌输风险意识，强调市场竞争的残酷性及环境的复杂性，最小化各种潜在风险对公司的影响。在内部运营风险管理方面，公司对主要内部运营风险评价指标进行识别并采取预防措施，如财务管理每年定期对应收账款进行动态跟踪与管理，防范呆账和坏账风险。</w:t>
      </w:r>
    </w:p>
    <w:p>
      <w:pPr>
        <w:pStyle w:val="4"/>
        <w:keepNext w:val="0"/>
        <w:keepLines w:val="0"/>
        <w:pageBreakBefore w:val="0"/>
        <w:kinsoku/>
        <w:wordWrap/>
        <w:overflowPunct/>
        <w:topLinePunct w:val="0"/>
        <w:autoSpaceDE w:val="0"/>
        <w:autoSpaceDN w:val="0"/>
        <w:bidi w:val="0"/>
        <w:spacing w:line="360" w:lineRule="auto"/>
        <w:ind w:left="0" w:right="0" w:firstLine="420" w:firstLineChars="200"/>
        <w:jc w:val="center"/>
        <w:textAlignment w:val="auto"/>
        <w:rPr>
          <w:sz w:val="21"/>
          <w:szCs w:val="21"/>
        </w:rPr>
      </w:pPr>
      <w:r>
        <w:rPr>
          <w:rFonts w:hint="eastAsia"/>
          <w:sz w:val="21"/>
          <w:szCs w:val="21"/>
        </w:rPr>
        <w:t>表</w:t>
      </w:r>
      <w:r>
        <w:rPr>
          <w:rFonts w:hint="eastAsia"/>
          <w:sz w:val="21"/>
          <w:szCs w:val="21"/>
          <w:lang w:val="en-US"/>
        </w:rPr>
        <w:t>2</w:t>
      </w:r>
      <w:r>
        <w:rPr>
          <w:rFonts w:hint="eastAsia"/>
          <w:sz w:val="21"/>
          <w:szCs w:val="21"/>
        </w:rPr>
        <w:t>.1-</w:t>
      </w:r>
      <w:r>
        <w:rPr>
          <w:sz w:val="21"/>
          <w:szCs w:val="21"/>
        </w:rPr>
        <w:fldChar w:fldCharType="begin"/>
      </w:r>
      <w:r>
        <w:rPr>
          <w:rFonts w:hint="eastAsia"/>
          <w:sz w:val="21"/>
          <w:szCs w:val="21"/>
        </w:rPr>
        <w:instrText xml:space="preserve">SEQ 图表4.1- \* ARABIC</w:instrText>
      </w:r>
      <w:r>
        <w:rPr>
          <w:sz w:val="21"/>
          <w:szCs w:val="21"/>
        </w:rPr>
        <w:fldChar w:fldCharType="separate"/>
      </w:r>
      <w:r>
        <w:rPr>
          <w:sz w:val="21"/>
          <w:szCs w:val="21"/>
        </w:rPr>
        <w:t>5</w:t>
      </w:r>
      <w:r>
        <w:rPr>
          <w:sz w:val="21"/>
          <w:szCs w:val="21"/>
        </w:rPr>
        <w:fldChar w:fldCharType="end"/>
      </w:r>
      <w:r>
        <w:rPr>
          <w:rFonts w:hint="eastAsia"/>
          <w:sz w:val="21"/>
          <w:szCs w:val="21"/>
        </w:rPr>
        <w:t xml:space="preserve"> </w:t>
      </w:r>
      <w:r>
        <w:rPr>
          <w:rFonts w:hint="eastAsia"/>
          <w:sz w:val="21"/>
          <w:szCs w:val="21"/>
          <w:lang w:val="en-US" w:eastAsia="zh-CN"/>
        </w:rPr>
        <w:t>雷丰</w:t>
      </w:r>
      <w:r>
        <w:rPr>
          <w:rFonts w:hint="eastAsia"/>
          <w:sz w:val="21"/>
          <w:szCs w:val="21"/>
        </w:rPr>
        <w:t>风险管理所采取的行动示例</w:t>
      </w:r>
    </w:p>
    <w:tbl>
      <w:tblPr>
        <w:tblStyle w:val="10"/>
        <w:tblW w:w="900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9"/>
        <w:gridCol w:w="1840"/>
        <w:gridCol w:w="2551"/>
        <w:gridCol w:w="39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0" w:hRule="atLeast"/>
          <w:tblHeader/>
          <w:jc w:val="center"/>
        </w:trPr>
        <w:tc>
          <w:tcPr>
            <w:tcW w:w="679" w:type="dxa"/>
            <w:shd w:val="clear" w:color="auto" w:fill="548DD4" w:themeFill="text2" w:themeFillTint="99"/>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center"/>
              <w:textAlignment w:val="auto"/>
              <w:rPr>
                <w:rFonts w:ascii="微软雅黑" w:hAnsi="微软雅黑" w:eastAsia="微软雅黑"/>
                <w:b/>
                <w:sz w:val="21"/>
                <w:szCs w:val="21"/>
              </w:rPr>
            </w:pPr>
            <w:r>
              <w:rPr>
                <w:rFonts w:hint="eastAsia" w:ascii="微软雅黑" w:hAnsi="微软雅黑" w:eastAsia="微软雅黑"/>
                <w:b/>
                <w:sz w:val="21"/>
                <w:szCs w:val="21"/>
              </w:rPr>
              <w:t>风险类型</w:t>
            </w:r>
          </w:p>
        </w:tc>
        <w:tc>
          <w:tcPr>
            <w:tcW w:w="1840" w:type="dxa"/>
            <w:shd w:val="clear" w:color="auto" w:fill="548DD4" w:themeFill="text2" w:themeFillTint="99"/>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center"/>
              <w:textAlignment w:val="auto"/>
              <w:rPr>
                <w:rFonts w:ascii="微软雅黑" w:hAnsi="微软雅黑" w:eastAsia="微软雅黑"/>
                <w:b/>
                <w:sz w:val="21"/>
                <w:szCs w:val="21"/>
              </w:rPr>
            </w:pPr>
            <w:r>
              <w:rPr>
                <w:rFonts w:hint="eastAsia" w:ascii="微软雅黑" w:hAnsi="微软雅黑" w:eastAsia="微软雅黑"/>
                <w:b/>
                <w:sz w:val="21"/>
                <w:szCs w:val="21"/>
              </w:rPr>
              <w:t>可能的负面影响</w:t>
            </w:r>
          </w:p>
        </w:tc>
        <w:tc>
          <w:tcPr>
            <w:tcW w:w="2551" w:type="dxa"/>
            <w:shd w:val="clear" w:color="auto" w:fill="548DD4" w:themeFill="text2" w:themeFillTint="99"/>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center"/>
              <w:textAlignment w:val="auto"/>
              <w:rPr>
                <w:rFonts w:ascii="微软雅黑" w:hAnsi="微软雅黑" w:eastAsia="微软雅黑"/>
                <w:b/>
                <w:sz w:val="21"/>
                <w:szCs w:val="21"/>
              </w:rPr>
            </w:pPr>
            <w:r>
              <w:rPr>
                <w:rFonts w:hint="eastAsia" w:ascii="微软雅黑" w:hAnsi="微软雅黑" w:eastAsia="微软雅黑"/>
                <w:b/>
                <w:sz w:val="21"/>
                <w:szCs w:val="21"/>
              </w:rPr>
              <w:t>导致风险的主要因素</w:t>
            </w:r>
          </w:p>
        </w:tc>
        <w:tc>
          <w:tcPr>
            <w:tcW w:w="3933" w:type="dxa"/>
            <w:shd w:val="clear" w:color="auto" w:fill="548DD4" w:themeFill="text2" w:themeFillTint="99"/>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center"/>
              <w:textAlignment w:val="auto"/>
              <w:rPr>
                <w:rFonts w:ascii="微软雅黑" w:hAnsi="微软雅黑" w:eastAsia="微软雅黑"/>
                <w:b/>
                <w:sz w:val="21"/>
                <w:szCs w:val="21"/>
              </w:rPr>
            </w:pPr>
            <w:r>
              <w:rPr>
                <w:rFonts w:hint="eastAsia" w:ascii="微软雅黑" w:hAnsi="微软雅黑" w:eastAsia="微软雅黑"/>
                <w:b/>
                <w:sz w:val="21"/>
                <w:szCs w:val="21"/>
              </w:rPr>
              <w:t>风险控制措施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9"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center"/>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经营风险</w:t>
            </w:r>
          </w:p>
        </w:tc>
        <w:tc>
          <w:tcPr>
            <w:tcW w:w="1840"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经营决策失误导致公司经营问题</w:t>
            </w:r>
          </w:p>
        </w:tc>
        <w:tc>
          <w:tcPr>
            <w:tcW w:w="2551"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产业政策变化、市场分析与定位不准、战略决策过程不合理等</w:t>
            </w:r>
          </w:p>
        </w:tc>
        <w:tc>
          <w:tcPr>
            <w:tcW w:w="3933"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成立战略管理小组，完善战略管理流程，运用科学的战略分析与制定工具，确保战略落地；建立战略监控管理机制，定期动态调整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9"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center"/>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财务风险</w:t>
            </w:r>
          </w:p>
        </w:tc>
        <w:tc>
          <w:tcPr>
            <w:tcW w:w="1840"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财务危机，影响收益，导致经营困境</w:t>
            </w:r>
          </w:p>
        </w:tc>
        <w:tc>
          <w:tcPr>
            <w:tcW w:w="2551"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税收、汇率等财务环境变化，投资、筹资措施不科学，资金回收与管理不善，分配政策不规范</w:t>
            </w:r>
          </w:p>
        </w:tc>
        <w:tc>
          <w:tcPr>
            <w:tcW w:w="3933"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建立完善的财务管理体系，健全全面预算管理、建立财务风险管控机制、不断提升资金周转率和使用效率等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9"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center"/>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品牌风险</w:t>
            </w:r>
          </w:p>
        </w:tc>
        <w:tc>
          <w:tcPr>
            <w:tcW w:w="1840"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品牌损害</w:t>
            </w:r>
          </w:p>
        </w:tc>
        <w:tc>
          <w:tcPr>
            <w:tcW w:w="2551"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重大质量事故或因舆情监控管理不当导致</w:t>
            </w:r>
          </w:p>
        </w:tc>
        <w:tc>
          <w:tcPr>
            <w:tcW w:w="3933"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持续完善内部品牌管理过程，建立舆情监控系统，维护品牌知名度与美誉度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9"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center"/>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质量风险</w:t>
            </w:r>
          </w:p>
        </w:tc>
        <w:tc>
          <w:tcPr>
            <w:tcW w:w="1840"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法律追责、产品失信</w:t>
            </w:r>
          </w:p>
        </w:tc>
        <w:tc>
          <w:tcPr>
            <w:tcW w:w="2551"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产品设计考虑不周、生产技术水平不够、生产过程把关不严</w:t>
            </w:r>
          </w:p>
        </w:tc>
        <w:tc>
          <w:tcPr>
            <w:tcW w:w="3933"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建立产品全生命周期管理体系，从设计-采购-生产-物流-营销-售后服务等全过程管控质量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9"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center"/>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安全风险</w:t>
            </w:r>
          </w:p>
        </w:tc>
        <w:tc>
          <w:tcPr>
            <w:tcW w:w="1840"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员工人身损害，资产损失，法律追责</w:t>
            </w:r>
          </w:p>
        </w:tc>
        <w:tc>
          <w:tcPr>
            <w:tcW w:w="2551"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全员安全意识不足、日常管理不规范、安全防护措施不到位</w:t>
            </w:r>
          </w:p>
        </w:tc>
        <w:tc>
          <w:tcPr>
            <w:tcW w:w="3933"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建立安全生产责任制，强化员工安全意识，定期开展安全生产培训，提升安全管理水平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9"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center"/>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环境风险</w:t>
            </w:r>
          </w:p>
        </w:tc>
        <w:tc>
          <w:tcPr>
            <w:tcW w:w="1840"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环境变化影响正常经营</w:t>
            </w:r>
          </w:p>
        </w:tc>
        <w:tc>
          <w:tcPr>
            <w:tcW w:w="2551"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气候恶劣变化、“三废”排放等</w:t>
            </w:r>
          </w:p>
        </w:tc>
        <w:tc>
          <w:tcPr>
            <w:tcW w:w="3933"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持续完善环境管理体系，每年开展关键场所环境影响因素的识别、评价和应对工作，建立方针、目标和管理方案等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679"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center"/>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市场风险</w:t>
            </w:r>
          </w:p>
        </w:tc>
        <w:tc>
          <w:tcPr>
            <w:tcW w:w="1840"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产品市场认可度降低、市场占有率降低</w:t>
            </w:r>
          </w:p>
        </w:tc>
        <w:tc>
          <w:tcPr>
            <w:tcW w:w="2551"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市场客户意见反馈处理不到位，产品售后服务不及时，产品上市管理不足</w:t>
            </w:r>
          </w:p>
        </w:tc>
        <w:tc>
          <w:tcPr>
            <w:tcW w:w="3933"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关注竞争对手、标杆企业的动态，分析市场竞争成功要素，努力形成自身核心竞争优势，把握市场变化，产品研发创新，并通过品牌营销，提升品牌形象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79"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center"/>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人才风险</w:t>
            </w:r>
          </w:p>
        </w:tc>
        <w:tc>
          <w:tcPr>
            <w:tcW w:w="1840"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人才流失、后备人才不足、关键岗位人才缺失、人员工作积极性不足</w:t>
            </w:r>
          </w:p>
        </w:tc>
        <w:tc>
          <w:tcPr>
            <w:tcW w:w="2551"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人才选拔、培养、配置、激励机制不健全，人才梯队建设不到位</w:t>
            </w:r>
          </w:p>
        </w:tc>
        <w:tc>
          <w:tcPr>
            <w:tcW w:w="3933" w:type="dxa"/>
            <w:shd w:val="clear" w:color="auto" w:fill="F2F2F2"/>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注重人员内部培训与外部引进；建立储备干部培养制度，并重点培养、考察，逐步培养企业核心人才及未来领导者</w:t>
            </w:r>
          </w:p>
        </w:tc>
      </w:tr>
    </w:tbl>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t>2</w:t>
      </w:r>
      <w:r>
        <w:rPr>
          <w:rFonts w:hint="eastAsia"/>
        </w:rPr>
        <w:t>）加强未来管理者培养，建立组织人才梯队</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为确保组织的延续性，根据人力资源发展规划，公司在人力资源管理过程中设定人才梯队建设这一关键绩效指标，定期开展人才盘点工作，识别组织的关键岗位及后备管理人员，对关键岗位继任者进行甄选、组织管理形式、培养方式、评估、晋升等内容进行梳理。</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同时，公司针对不同类型岗位开展针对性的培训，通过专业技能、管理学科等方面的培训提升综合素质，结合公司内部培训以及外部培训、岗位轮换等方式，不断提升各级领导者的综合领导力。</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g）定期评价组织绩效并不断提升改进</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t>1</w:t>
      </w:r>
      <w:r>
        <w:rPr>
          <w:rFonts w:hint="eastAsia"/>
        </w:rPr>
        <w:t>）建立科学的绩效评价体系以评价组织绩效</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高层领导从财务、顾客与市场、内部运营、学习与成长、战略管理等方面定期评估组织的绩效和能力，并适时调整，持续改进，追求卓越绩效，提升组织的应变能力。</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高层领导为了实现战略目标和行动计划，推行以目标管理为主的方法。每年的经营任务指标和方针确定后，将公司的年度经营任务目标化解成每季每月目标，向全体员工传达、分解，确保每一位员工都了解当年的目标任务。</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公司高层领导进行绩效评审，并对未完成的指标加以明确，并进行跟踪，及时掌握指标完成情况，必要时采取适当措施。</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通过年度形势分析会、年度战略研讨会、月度例会、绩效考核等方式，定期对关键绩效指标、战略经营情况、生产经营指标、日常运营情况进行审核、评价，以不断改进组织绩效，采取必要的行动。</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通过每月的成本、绩效考核、项目的分阶段例会等活动，对公司取得的阶段性经营结果、成功案例进行分析，及时总结，及时推广。</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公司领导在年度战略讨论期间确立下年度公司层面的总体目标，各个部门根据目标进行分解，制定各自的行动计划。本年度的行动计划由总经理签署后实施。每月举办一次业务工作会议，对目标进度进行回顾和比较，由负责人汇报工作情况及下一阶段的工作实施计划。同时，高层领导积极引入先进的管理工具。</w:t>
      </w:r>
    </w:p>
    <w:p>
      <w:pPr>
        <w:pStyle w:val="4"/>
        <w:keepNext w:val="0"/>
        <w:keepLines w:val="0"/>
        <w:pageBreakBefore w:val="0"/>
        <w:kinsoku/>
        <w:wordWrap/>
        <w:overflowPunct/>
        <w:topLinePunct w:val="0"/>
        <w:autoSpaceDE w:val="0"/>
        <w:autoSpaceDN w:val="0"/>
        <w:bidi w:val="0"/>
        <w:spacing w:line="360" w:lineRule="auto"/>
        <w:ind w:left="0" w:right="0" w:firstLine="420" w:firstLineChars="200"/>
        <w:jc w:val="center"/>
        <w:textAlignment w:val="auto"/>
        <w:rPr>
          <w:sz w:val="21"/>
          <w:szCs w:val="21"/>
        </w:rPr>
      </w:pPr>
      <w:r>
        <w:rPr>
          <w:rFonts w:hint="eastAsia"/>
          <w:sz w:val="21"/>
          <w:szCs w:val="21"/>
        </w:rPr>
        <w:t>表</w:t>
      </w:r>
      <w:r>
        <w:rPr>
          <w:rFonts w:hint="eastAsia"/>
          <w:sz w:val="21"/>
          <w:szCs w:val="21"/>
          <w:lang w:val="en-US"/>
        </w:rPr>
        <w:t>2</w:t>
      </w:r>
      <w:r>
        <w:rPr>
          <w:rFonts w:hint="eastAsia"/>
          <w:sz w:val="21"/>
          <w:szCs w:val="21"/>
        </w:rPr>
        <w:t>.1-</w:t>
      </w:r>
      <w:r>
        <w:rPr>
          <w:sz w:val="21"/>
          <w:szCs w:val="21"/>
        </w:rPr>
        <w:fldChar w:fldCharType="begin"/>
      </w:r>
      <w:r>
        <w:rPr>
          <w:rFonts w:hint="eastAsia"/>
          <w:sz w:val="21"/>
          <w:szCs w:val="21"/>
        </w:rPr>
        <w:instrText xml:space="preserve">SEQ 图表4.1- \* ARABIC</w:instrText>
      </w:r>
      <w:r>
        <w:rPr>
          <w:sz w:val="21"/>
          <w:szCs w:val="21"/>
        </w:rPr>
        <w:fldChar w:fldCharType="separate"/>
      </w:r>
      <w:r>
        <w:rPr>
          <w:sz w:val="21"/>
          <w:szCs w:val="21"/>
        </w:rPr>
        <w:t>6</w:t>
      </w:r>
      <w:r>
        <w:rPr>
          <w:sz w:val="21"/>
          <w:szCs w:val="21"/>
        </w:rPr>
        <w:fldChar w:fldCharType="end"/>
      </w:r>
      <w:r>
        <w:rPr>
          <w:rFonts w:hint="eastAsia"/>
          <w:sz w:val="21"/>
          <w:szCs w:val="21"/>
        </w:rPr>
        <w:t xml:space="preserve"> 公司组织绩效评审方式示例</w:t>
      </w:r>
    </w:p>
    <w:tbl>
      <w:tblPr>
        <w:tblStyle w:val="10"/>
        <w:tblW w:w="89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3210"/>
        <w:gridCol w:w="2755"/>
        <w:gridCol w:w="16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356" w:type="dxa"/>
            <w:tcBorders>
              <w:top w:val="single" w:color="auto" w:sz="4" w:space="0"/>
              <w:left w:val="single" w:color="auto" w:sz="4" w:space="0"/>
              <w:bottom w:val="single" w:color="auto" w:sz="4" w:space="0"/>
              <w:right w:val="single" w:color="auto" w:sz="4" w:space="0"/>
            </w:tcBorders>
            <w:shd w:val="clear" w:color="auto" w:fill="548DD4" w:themeFill="text2" w:themeFillTint="99"/>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center"/>
              <w:textAlignment w:val="auto"/>
              <w:rPr>
                <w:rFonts w:ascii="微软雅黑" w:hAnsi="微软雅黑" w:eastAsia="微软雅黑"/>
                <w:b/>
                <w:sz w:val="21"/>
                <w:szCs w:val="21"/>
              </w:rPr>
            </w:pPr>
            <w:r>
              <w:rPr>
                <w:rFonts w:hint="eastAsia" w:ascii="微软雅黑" w:hAnsi="微软雅黑" w:eastAsia="微软雅黑"/>
                <w:b/>
                <w:sz w:val="21"/>
                <w:szCs w:val="21"/>
              </w:rPr>
              <w:t>评价模块</w:t>
            </w:r>
          </w:p>
        </w:tc>
        <w:tc>
          <w:tcPr>
            <w:tcW w:w="3210" w:type="dxa"/>
            <w:tcBorders>
              <w:top w:val="single" w:color="auto" w:sz="4" w:space="0"/>
              <w:left w:val="single" w:color="auto" w:sz="4" w:space="0"/>
              <w:bottom w:val="single" w:color="auto" w:sz="4" w:space="0"/>
              <w:right w:val="single" w:color="auto" w:sz="4" w:space="0"/>
            </w:tcBorders>
            <w:shd w:val="clear" w:color="auto" w:fill="548DD4" w:themeFill="text2" w:themeFillTint="99"/>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center"/>
              <w:textAlignment w:val="auto"/>
              <w:rPr>
                <w:rFonts w:ascii="微软雅黑" w:hAnsi="微软雅黑" w:eastAsia="微软雅黑"/>
                <w:b/>
                <w:sz w:val="21"/>
                <w:szCs w:val="21"/>
              </w:rPr>
            </w:pPr>
            <w:r>
              <w:rPr>
                <w:rFonts w:hint="eastAsia" w:ascii="微软雅黑" w:hAnsi="微软雅黑" w:eastAsia="微软雅黑"/>
                <w:b/>
                <w:sz w:val="21"/>
                <w:szCs w:val="21"/>
              </w:rPr>
              <w:t>评价内容</w:t>
            </w:r>
          </w:p>
        </w:tc>
        <w:tc>
          <w:tcPr>
            <w:tcW w:w="2755" w:type="dxa"/>
            <w:tcBorders>
              <w:top w:val="single" w:color="auto" w:sz="4" w:space="0"/>
              <w:left w:val="single" w:color="auto" w:sz="4" w:space="0"/>
              <w:bottom w:val="single" w:color="auto" w:sz="4" w:space="0"/>
              <w:right w:val="single" w:color="auto" w:sz="4" w:space="0"/>
            </w:tcBorders>
            <w:shd w:val="clear" w:color="auto" w:fill="548DD4" w:themeFill="text2" w:themeFillTint="99"/>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center"/>
              <w:textAlignment w:val="auto"/>
              <w:rPr>
                <w:rFonts w:ascii="微软雅黑" w:hAnsi="微软雅黑" w:eastAsia="微软雅黑"/>
                <w:b/>
                <w:sz w:val="21"/>
                <w:szCs w:val="21"/>
              </w:rPr>
            </w:pPr>
            <w:r>
              <w:rPr>
                <w:rFonts w:hint="eastAsia" w:ascii="微软雅黑" w:hAnsi="微软雅黑" w:eastAsia="微软雅黑"/>
                <w:b/>
                <w:sz w:val="21"/>
                <w:szCs w:val="21"/>
              </w:rPr>
              <w:t>评价方法</w:t>
            </w:r>
          </w:p>
        </w:tc>
        <w:tc>
          <w:tcPr>
            <w:tcW w:w="1648" w:type="dxa"/>
            <w:tcBorders>
              <w:top w:val="single" w:color="auto" w:sz="4" w:space="0"/>
              <w:left w:val="single" w:color="auto" w:sz="4" w:space="0"/>
              <w:bottom w:val="single" w:color="auto" w:sz="4" w:space="0"/>
              <w:right w:val="single" w:color="auto" w:sz="4" w:space="0"/>
            </w:tcBorders>
            <w:shd w:val="clear" w:color="auto" w:fill="548DD4" w:themeFill="text2" w:themeFillTint="99"/>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center"/>
              <w:textAlignment w:val="auto"/>
              <w:rPr>
                <w:rFonts w:ascii="微软雅黑" w:hAnsi="微软雅黑" w:eastAsia="微软雅黑"/>
                <w:b/>
                <w:sz w:val="21"/>
                <w:szCs w:val="21"/>
              </w:rPr>
            </w:pPr>
            <w:r>
              <w:rPr>
                <w:rFonts w:hint="eastAsia" w:ascii="微软雅黑" w:hAnsi="微软雅黑" w:eastAsia="微软雅黑"/>
                <w:b/>
                <w:sz w:val="21"/>
                <w:szCs w:val="21"/>
              </w:rPr>
              <w:t>评价周期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vMerge w:val="restart"/>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center"/>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长短期绩效目标达成情况</w:t>
            </w:r>
          </w:p>
        </w:tc>
        <w:tc>
          <w:tcPr>
            <w:tcW w:w="3210"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关键绩效指标达成情况</w:t>
            </w:r>
          </w:p>
        </w:tc>
        <w:tc>
          <w:tcPr>
            <w:tcW w:w="2755"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经营分析会议、总结会议等</w:t>
            </w:r>
          </w:p>
        </w:tc>
        <w:tc>
          <w:tcPr>
            <w:tcW w:w="1648"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月度、季度、半年度、年度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vMerge w:val="continue"/>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auto"/>
              <w:rPr>
                <w:rFonts w:asciiTheme="minorEastAsia" w:hAnsiTheme="minorEastAsia" w:eastAsiaTheme="minorEastAsia" w:cstheme="minorEastAsia"/>
                <w:sz w:val="21"/>
                <w:szCs w:val="21"/>
              </w:rPr>
            </w:pPr>
          </w:p>
        </w:tc>
        <w:tc>
          <w:tcPr>
            <w:tcW w:w="3210"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战略实施情况、战略调整</w:t>
            </w:r>
          </w:p>
        </w:tc>
        <w:tc>
          <w:tcPr>
            <w:tcW w:w="2755"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战略研讨会</w:t>
            </w:r>
          </w:p>
        </w:tc>
        <w:tc>
          <w:tcPr>
            <w:tcW w:w="1648"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次/半年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center"/>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竞争绩效</w:t>
            </w:r>
          </w:p>
        </w:tc>
        <w:tc>
          <w:tcPr>
            <w:tcW w:w="3210"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主要指标与标杆和竞争对手对比</w:t>
            </w:r>
          </w:p>
        </w:tc>
        <w:tc>
          <w:tcPr>
            <w:tcW w:w="2755"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对比分析等</w:t>
            </w:r>
          </w:p>
        </w:tc>
        <w:tc>
          <w:tcPr>
            <w:tcW w:w="1648"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vMerge w:val="restart"/>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center"/>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体系管理有效性</w:t>
            </w:r>
          </w:p>
        </w:tc>
        <w:tc>
          <w:tcPr>
            <w:tcW w:w="3210"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各项管理体系运行情况</w:t>
            </w:r>
          </w:p>
        </w:tc>
        <w:tc>
          <w:tcPr>
            <w:tcW w:w="2755"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运营部等部门内部审核</w:t>
            </w:r>
          </w:p>
        </w:tc>
        <w:tc>
          <w:tcPr>
            <w:tcW w:w="1648"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次/半年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vMerge w:val="continue"/>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right="0" w:firstLine="0" w:firstLineChars="0"/>
              <w:jc w:val="center"/>
              <w:textAlignment w:val="auto"/>
              <w:rPr>
                <w:rFonts w:asciiTheme="minorEastAsia" w:hAnsiTheme="minorEastAsia" w:eastAsiaTheme="minorEastAsia" w:cstheme="minorEastAsia"/>
                <w:sz w:val="21"/>
                <w:szCs w:val="21"/>
              </w:rPr>
            </w:pPr>
          </w:p>
        </w:tc>
        <w:tc>
          <w:tcPr>
            <w:tcW w:w="3210"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生产、消防安全及职业健康工作落实情况</w:t>
            </w:r>
          </w:p>
        </w:tc>
        <w:tc>
          <w:tcPr>
            <w:tcW w:w="2755"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行政部、生产部等相关部门进行评审</w:t>
            </w:r>
          </w:p>
        </w:tc>
        <w:tc>
          <w:tcPr>
            <w:tcW w:w="1648"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center"/>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社会责任</w:t>
            </w:r>
          </w:p>
        </w:tc>
        <w:tc>
          <w:tcPr>
            <w:tcW w:w="3210"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公益支持、相关方利益的保护等</w:t>
            </w:r>
          </w:p>
        </w:tc>
        <w:tc>
          <w:tcPr>
            <w:tcW w:w="2755"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各相关方信息反馈、公益支持计划完成情况等</w:t>
            </w:r>
          </w:p>
        </w:tc>
        <w:tc>
          <w:tcPr>
            <w:tcW w:w="1648" w:type="dxa"/>
            <w:tcBorders>
              <w:top w:val="single" w:color="auto" w:sz="4" w:space="0"/>
              <w:left w:val="single" w:color="auto" w:sz="4" w:space="0"/>
              <w:bottom w:val="single" w:color="auto" w:sz="4" w:space="0"/>
              <w:right w:val="single" w:color="auto" w:sz="4" w:space="0"/>
            </w:tcBorders>
            <w:shd w:val="clear" w:color="auto" w:fill="F2F2F2"/>
            <w:vAlign w:val="center"/>
          </w:tcPr>
          <w:p>
            <w:pPr>
              <w:keepNext w:val="0"/>
              <w:keepLines w:val="0"/>
              <w:pageBreakBefore w:val="0"/>
              <w:kinsoku/>
              <w:wordWrap/>
              <w:overflowPunct/>
              <w:topLinePunct w:val="0"/>
              <w:autoSpaceDE w:val="0"/>
              <w:autoSpaceDN w:val="0"/>
              <w:bidi w:val="0"/>
              <w:adjustRightInd/>
              <w:snapToGrid/>
              <w:spacing w:line="240" w:lineRule="auto"/>
              <w:ind w:left="0" w:right="0" w:firstLine="0" w:firstLineChars="0"/>
              <w:jc w:val="both"/>
              <w:textAlignment w:val="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年度</w:t>
            </w:r>
          </w:p>
        </w:tc>
      </w:tr>
    </w:tbl>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2）确定和落实改进关键业务的优先次序，识别改进与创新机会</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rPr>
          <w:rFonts w:hint="eastAsia"/>
        </w:rPr>
        <w:t>高层领导通过战略研讨会、管理评审会、定期的经营分析会等方式评价公司的关键绩效指标，以识别改进和创新的重点。根据绩效评审结果，按照与公司使命、愿景、目标、顾客满意度等相关性大小，确定改进问题，明确改进优先次序并识别创新机会，通过“立项”方式，明确责任部门和责任人，对改进计划采取重责考评限期改进等办法推进落实。一方面做好内部策划实施，另一方面及时沟通合作伙伴，以便步调一致，协同创新。</w:t>
      </w:r>
    </w:p>
    <w:p>
      <w:pPr>
        <w:pStyle w:val="2"/>
        <w:keepNext w:val="0"/>
        <w:keepLines w:val="0"/>
        <w:pageBreakBefore w:val="0"/>
        <w:numPr>
          <w:ilvl w:val="0"/>
          <w:numId w:val="3"/>
        </w:numPr>
        <w:kinsoku/>
        <w:wordWrap/>
        <w:overflowPunct/>
        <w:topLinePunct w:val="0"/>
        <w:autoSpaceDE w:val="0"/>
        <w:autoSpaceDN w:val="0"/>
        <w:bidi w:val="0"/>
        <w:spacing w:line="360" w:lineRule="auto"/>
        <w:ind w:left="0" w:right="0" w:firstLine="562" w:firstLineChars="200"/>
        <w:jc w:val="both"/>
        <w:textAlignment w:val="auto"/>
        <w:rPr>
          <w:b/>
          <w:bCs/>
        </w:rPr>
      </w:pPr>
      <w:bookmarkStart w:id="6" w:name="三、守法合规"/>
      <w:bookmarkEnd w:id="6"/>
      <w:bookmarkStart w:id="7" w:name="_Toc24531707"/>
      <w:r>
        <w:rPr>
          <w:b/>
          <w:bCs/>
        </w:rPr>
        <w:t>守法合规</w:t>
      </w:r>
      <w:bookmarkEnd w:id="7"/>
    </w:p>
    <w:p>
      <w:pPr>
        <w:pStyle w:val="4"/>
        <w:keepNext w:val="0"/>
        <w:keepLines w:val="0"/>
        <w:pageBreakBefore w:val="0"/>
        <w:kinsoku/>
        <w:wordWrap/>
        <w:overflowPunct/>
        <w:topLinePunct w:val="0"/>
        <w:autoSpaceDE w:val="0"/>
        <w:autoSpaceDN w:val="0"/>
        <w:bidi w:val="0"/>
        <w:spacing w:line="360" w:lineRule="auto"/>
        <w:ind w:left="0" w:right="0" w:firstLine="452" w:firstLineChars="200"/>
        <w:jc w:val="both"/>
        <w:textAlignment w:val="auto"/>
      </w:pPr>
      <w:r>
        <w:rPr>
          <w:spacing w:val="-7"/>
        </w:rPr>
        <w:t>公司遵守商业道德和法律规定，建立了完备的合规体系。</w:t>
      </w:r>
      <w:r>
        <w:rPr>
          <w:rFonts w:hint="eastAsia"/>
          <w:spacing w:val="-7"/>
          <w:lang w:eastAsia="zh-CN"/>
        </w:rPr>
        <w:t>雷丰</w:t>
      </w:r>
      <w:r>
        <w:rPr>
          <w:spacing w:val="-7"/>
        </w:rPr>
        <w:t>合规体系包</w:t>
      </w:r>
      <w:r>
        <w:rPr>
          <w:spacing w:val="-21"/>
        </w:rPr>
        <w:t>括内部合规制度、内部合规通报体系、内部监督制度和惩戒制度，重点关注环境、</w:t>
      </w:r>
      <w:r>
        <w:t>商业伦理、产品质量和供应链领域。</w:t>
      </w:r>
    </w:p>
    <w:p>
      <w:pPr>
        <w:pStyle w:val="4"/>
        <w:keepNext w:val="0"/>
        <w:keepLines w:val="0"/>
        <w:pageBreakBefore w:val="0"/>
        <w:kinsoku/>
        <w:wordWrap/>
        <w:overflowPunct/>
        <w:topLinePunct w:val="0"/>
        <w:autoSpaceDE w:val="0"/>
        <w:autoSpaceDN w:val="0"/>
        <w:bidi w:val="0"/>
        <w:spacing w:line="360" w:lineRule="auto"/>
        <w:ind w:left="0" w:right="0" w:firstLine="448" w:firstLineChars="200"/>
        <w:jc w:val="both"/>
        <w:textAlignment w:val="auto"/>
      </w:pPr>
      <w:r>
        <w:rPr>
          <w:spacing w:val="-8"/>
        </w:rPr>
        <w:t>公司员工遵循诚实守信、平等公正、符合法规、不谋私利、利益回避和信息</w:t>
      </w:r>
      <w:r>
        <w:rPr>
          <w:spacing w:val="-10"/>
        </w:rPr>
        <w:t>保密等基本准则。对待同事平等尊重；对待客户以提供高品质的产品和服务为己任；对待供应商诚信公正寻求双赢。此外，公司设立了</w:t>
      </w:r>
      <w:r>
        <w:rPr>
          <w:rFonts w:hint="eastAsia"/>
          <w:spacing w:val="-10"/>
          <w:lang w:eastAsia="zh-CN"/>
        </w:rPr>
        <w:t>行政部</w:t>
      </w:r>
      <w:r>
        <w:rPr>
          <w:spacing w:val="-10"/>
        </w:rPr>
        <w:t>，还要求员工</w:t>
      </w:r>
      <w:r>
        <w:rPr>
          <w:spacing w:val="-7"/>
        </w:rPr>
        <w:t>在与政府等部门交易时必须要做到诚实、准确，严禁以公司或个人的名义向任何</w:t>
      </w:r>
      <w:r>
        <w:t>政府官员、党派等提供或许诺提供资金或财物以试图影响其决定。</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p>
    <w:p>
      <w:pPr>
        <w:pStyle w:val="2"/>
        <w:keepNext w:val="0"/>
        <w:keepLines w:val="0"/>
        <w:pageBreakBefore w:val="0"/>
        <w:kinsoku/>
        <w:wordWrap/>
        <w:overflowPunct/>
        <w:topLinePunct w:val="0"/>
        <w:autoSpaceDE w:val="0"/>
        <w:autoSpaceDN w:val="0"/>
        <w:bidi w:val="0"/>
        <w:spacing w:line="360" w:lineRule="auto"/>
        <w:ind w:left="0" w:right="0" w:firstLine="562" w:firstLineChars="200"/>
        <w:jc w:val="both"/>
        <w:textAlignment w:val="auto"/>
        <w:rPr>
          <w:b/>
          <w:bCs/>
        </w:rPr>
      </w:pPr>
      <w:bookmarkStart w:id="8" w:name="五、服务客户"/>
      <w:bookmarkEnd w:id="8"/>
      <w:bookmarkStart w:id="9" w:name="四、回报股东"/>
      <w:bookmarkEnd w:id="9"/>
      <w:bookmarkStart w:id="10" w:name="_Toc24531709"/>
      <w:r>
        <w:rPr>
          <w:rFonts w:hint="eastAsia"/>
          <w:b/>
          <w:bCs/>
          <w:lang w:val="en-US" w:eastAsia="zh-CN"/>
        </w:rPr>
        <w:t>四</w:t>
      </w:r>
      <w:r>
        <w:rPr>
          <w:b/>
          <w:bCs/>
        </w:rPr>
        <w:t>、服务客户</w:t>
      </w:r>
      <w:bookmarkEnd w:id="10"/>
    </w:p>
    <w:p>
      <w:pPr>
        <w:pStyle w:val="4"/>
        <w:keepNext w:val="0"/>
        <w:keepLines w:val="0"/>
        <w:pageBreakBefore w:val="0"/>
        <w:kinsoku/>
        <w:wordWrap/>
        <w:overflowPunct/>
        <w:topLinePunct w:val="0"/>
        <w:autoSpaceDE w:val="0"/>
        <w:autoSpaceDN w:val="0"/>
        <w:bidi w:val="0"/>
        <w:spacing w:line="360" w:lineRule="auto"/>
        <w:ind w:left="0" w:right="0" w:firstLine="440" w:firstLineChars="200"/>
        <w:jc w:val="both"/>
        <w:textAlignment w:val="auto"/>
        <w:rPr>
          <w:sz w:val="22"/>
        </w:rPr>
      </w:pP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t>很多客户对企业的评价当中相当多的原因不是由于产品质量服务等实质性</w:t>
      </w:r>
      <w:r>
        <w:rPr>
          <w:spacing w:val="-10"/>
        </w:rPr>
        <w:t>问题，而是企业与客户之间的沟通不够。因此，与客户保持沟通、特别是高层的</w:t>
      </w:r>
      <w:r>
        <w:rPr>
          <w:spacing w:val="-9"/>
        </w:rPr>
        <w:t>沟通渠道畅通是非常重要的，只有产品质量与服务质量双重保障才能获得客户的最终满意和认可。</w:t>
      </w:r>
      <w:r>
        <w:rPr>
          <w:rFonts w:hint="eastAsia"/>
          <w:spacing w:val="-9"/>
          <w:lang w:eastAsia="zh-CN"/>
        </w:rPr>
        <w:t>雷丰</w:t>
      </w:r>
      <w:r>
        <w:rPr>
          <w:spacing w:val="-9"/>
        </w:rPr>
        <w:t>以机构改革为契机，从传统的产品制造商向现代化</w:t>
      </w:r>
      <w:r>
        <w:rPr>
          <w:rFonts w:hint="eastAsia"/>
          <w:spacing w:val="-8"/>
        </w:rPr>
        <w:t>生产</w:t>
      </w:r>
      <w:r>
        <w:rPr>
          <w:spacing w:val="-8"/>
        </w:rPr>
        <w:t>服务商转型，建立以市场为中心、以客户需求为重点的服务理念。机构改革</w:t>
      </w:r>
      <w:r>
        <w:rPr>
          <w:spacing w:val="-21"/>
        </w:rPr>
        <w:t>后，</w:t>
      </w:r>
      <w:r>
        <w:rPr>
          <w:rFonts w:hint="eastAsia"/>
          <w:spacing w:val="-21"/>
          <w:lang w:val="en-US"/>
        </w:rPr>
        <w:t>商务</w:t>
      </w:r>
      <w:r>
        <w:rPr>
          <w:spacing w:val="-21"/>
        </w:rPr>
        <w:t xml:space="preserve">部各自针对客户开展服务工作，不断优化服务流程，提升服务理念， </w:t>
      </w:r>
      <w:r>
        <w:rPr>
          <w:spacing w:val="-10"/>
        </w:rPr>
        <w:t>强化服务质量，急客户之所急，想客户之所想，在初期的工作中得到了客户的充</w:t>
      </w:r>
      <w:r>
        <w:t>分肯定。</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p>
    <w:p>
      <w:pPr>
        <w:pStyle w:val="2"/>
        <w:keepNext w:val="0"/>
        <w:keepLines w:val="0"/>
        <w:pageBreakBefore w:val="0"/>
        <w:kinsoku/>
        <w:wordWrap/>
        <w:overflowPunct/>
        <w:topLinePunct w:val="0"/>
        <w:autoSpaceDE w:val="0"/>
        <w:autoSpaceDN w:val="0"/>
        <w:bidi w:val="0"/>
        <w:spacing w:line="360" w:lineRule="auto"/>
        <w:ind w:left="0" w:right="0" w:firstLine="562" w:firstLineChars="200"/>
        <w:jc w:val="both"/>
        <w:textAlignment w:val="auto"/>
        <w:rPr>
          <w:b/>
          <w:bCs/>
        </w:rPr>
      </w:pPr>
      <w:bookmarkStart w:id="11" w:name="六、造福员工"/>
      <w:bookmarkEnd w:id="11"/>
      <w:bookmarkStart w:id="12" w:name="_Toc24531710"/>
      <w:r>
        <w:rPr>
          <w:rFonts w:hint="eastAsia"/>
          <w:b/>
          <w:bCs/>
          <w:lang w:val="en-US" w:eastAsia="zh-CN"/>
        </w:rPr>
        <w:t>五</w:t>
      </w:r>
      <w:r>
        <w:rPr>
          <w:b/>
          <w:bCs/>
        </w:rPr>
        <w:t>、造福员工</w:t>
      </w:r>
      <w:bookmarkEnd w:id="12"/>
    </w:p>
    <w:p>
      <w:pPr>
        <w:pStyle w:val="4"/>
        <w:keepNext w:val="0"/>
        <w:keepLines w:val="0"/>
        <w:pageBreakBefore w:val="0"/>
        <w:kinsoku/>
        <w:wordWrap/>
        <w:overflowPunct/>
        <w:topLinePunct w:val="0"/>
        <w:autoSpaceDE w:val="0"/>
        <w:autoSpaceDN w:val="0"/>
        <w:bidi w:val="0"/>
        <w:spacing w:line="360" w:lineRule="auto"/>
        <w:ind w:left="0" w:right="0" w:firstLine="440" w:firstLineChars="200"/>
        <w:jc w:val="both"/>
        <w:textAlignment w:val="auto"/>
        <w:rPr>
          <w:sz w:val="22"/>
        </w:rPr>
      </w:pPr>
    </w:p>
    <w:p>
      <w:pPr>
        <w:pStyle w:val="4"/>
        <w:keepNext w:val="0"/>
        <w:keepLines w:val="0"/>
        <w:pageBreakBefore w:val="0"/>
        <w:kinsoku/>
        <w:wordWrap/>
        <w:overflowPunct/>
        <w:topLinePunct w:val="0"/>
        <w:autoSpaceDE w:val="0"/>
        <w:autoSpaceDN w:val="0"/>
        <w:bidi w:val="0"/>
        <w:spacing w:line="360" w:lineRule="auto"/>
        <w:ind w:left="0" w:right="0" w:firstLine="440" w:firstLineChars="200"/>
        <w:jc w:val="both"/>
        <w:textAlignment w:val="auto"/>
        <w:rPr>
          <w:rFonts w:hint="default" w:eastAsia="宋体"/>
          <w:highlight w:val="none"/>
          <w:lang w:val="en-US" w:eastAsia="zh-CN"/>
        </w:rPr>
      </w:pPr>
      <w:r>
        <w:rPr>
          <w:spacing w:val="-10"/>
          <w:highlight w:val="none"/>
        </w:rPr>
        <w:t>公司着力构建“</w:t>
      </w:r>
      <w:r>
        <w:rPr>
          <w:rFonts w:hint="eastAsia" w:cs="宋体" w:asciiTheme="minorEastAsia" w:hAnsiTheme="minorEastAsia" w:eastAsiaTheme="minorEastAsia"/>
          <w:color w:val="000000" w:themeColor="text1"/>
          <w:sz w:val="24"/>
          <w:szCs w:val="24"/>
          <w:highlight w:val="none"/>
          <w:lang w:eastAsia="zh-CN"/>
          <w14:textFill>
            <w14:solidFill>
              <w14:schemeClr w14:val="tx1"/>
            </w14:solidFill>
          </w14:textFill>
        </w:rPr>
        <w:t>合作、开放、责任、创新、高效</w:t>
      </w:r>
      <w:r>
        <w:rPr>
          <w:spacing w:val="-10"/>
          <w:highlight w:val="none"/>
        </w:rPr>
        <w:t>”的</w:t>
      </w:r>
      <w:r>
        <w:rPr>
          <w:highlight w:val="none"/>
        </w:rPr>
        <w:t>企业文化，不断提升企业的软实力，</w:t>
      </w:r>
      <w:r>
        <w:rPr>
          <w:rFonts w:hint="eastAsia"/>
          <w:highlight w:val="none"/>
          <w:lang w:val="en-US" w:eastAsia="zh-CN"/>
        </w:rPr>
        <w:t>提升员工幸福指数。</w:t>
      </w:r>
    </w:p>
    <w:p>
      <w:pPr>
        <w:pStyle w:val="15"/>
        <w:keepNext w:val="0"/>
        <w:keepLines w:val="0"/>
        <w:pageBreakBefore w:val="0"/>
        <w:numPr>
          <w:ilvl w:val="0"/>
          <w:numId w:val="0"/>
        </w:numPr>
        <w:tabs>
          <w:tab w:val="left" w:pos="540"/>
        </w:tabs>
        <w:kinsoku/>
        <w:wordWrap/>
        <w:overflowPunct/>
        <w:topLinePunct w:val="0"/>
        <w:autoSpaceDE w:val="0"/>
        <w:autoSpaceDN w:val="0"/>
        <w:bidi w:val="0"/>
        <w:spacing w:before="0" w:line="360" w:lineRule="auto"/>
        <w:ind w:leftChars="200" w:right="0" w:rightChars="0"/>
        <w:jc w:val="both"/>
        <w:textAlignment w:val="auto"/>
        <w:rPr>
          <w:sz w:val="24"/>
        </w:rPr>
      </w:pPr>
      <w:r>
        <w:rPr>
          <w:rFonts w:hint="eastAsia"/>
          <w:sz w:val="24"/>
          <w:lang w:val="en-US" w:eastAsia="zh-CN"/>
        </w:rPr>
        <w:t xml:space="preserve">5.1 </w:t>
      </w:r>
      <w:r>
        <w:rPr>
          <w:sz w:val="24"/>
        </w:rPr>
        <w:t>确保员工权益</w:t>
      </w:r>
    </w:p>
    <w:p>
      <w:pPr>
        <w:pStyle w:val="4"/>
        <w:keepNext w:val="0"/>
        <w:keepLines w:val="0"/>
        <w:pageBreakBefore w:val="0"/>
        <w:kinsoku/>
        <w:wordWrap/>
        <w:overflowPunct/>
        <w:topLinePunct w:val="0"/>
        <w:autoSpaceDE w:val="0"/>
        <w:autoSpaceDN w:val="0"/>
        <w:bidi w:val="0"/>
        <w:spacing w:line="360" w:lineRule="auto"/>
        <w:ind w:left="0" w:right="0" w:firstLine="452" w:firstLineChars="200"/>
        <w:jc w:val="both"/>
        <w:textAlignment w:val="auto"/>
      </w:pPr>
      <w:r>
        <w:rPr>
          <w:spacing w:val="-7"/>
        </w:rPr>
        <w:t>在全球经济形势不稳定、变化多变的影响下，在公司身处逆境的时候，如何处理好职工利益和公司的利益关系，稳定队伍，凝聚人心，储备人才，是摆在公司管理层面前一个重要难题。员工是企业最宝贵的财富，企业的发展离不开员工</w:t>
      </w:r>
      <w:r>
        <w:rPr>
          <w:spacing w:val="-21"/>
        </w:rPr>
        <w:t xml:space="preserve">的辛勤劳动，公司始终秉承企业与员工“共赢发展”的理念，在企业发展的同时， </w:t>
      </w:r>
      <w:r>
        <w:rPr>
          <w:spacing w:val="-8"/>
        </w:rPr>
        <w:t>没有忘记对员工的回报，并致力于提高和改善员工的工作环境，职业发展平台以</w:t>
      </w:r>
      <w:r>
        <w:t>及合适的收入。</w:t>
      </w:r>
    </w:p>
    <w:p>
      <w:pPr>
        <w:pStyle w:val="15"/>
        <w:keepNext w:val="0"/>
        <w:keepLines w:val="0"/>
        <w:pageBreakBefore w:val="0"/>
        <w:numPr>
          <w:ilvl w:val="0"/>
          <w:numId w:val="0"/>
        </w:numPr>
        <w:tabs>
          <w:tab w:val="left" w:pos="540"/>
        </w:tabs>
        <w:kinsoku/>
        <w:wordWrap/>
        <w:overflowPunct/>
        <w:topLinePunct w:val="0"/>
        <w:autoSpaceDE w:val="0"/>
        <w:autoSpaceDN w:val="0"/>
        <w:bidi w:val="0"/>
        <w:spacing w:before="0" w:line="360" w:lineRule="auto"/>
        <w:ind w:leftChars="200" w:right="0" w:rightChars="0"/>
        <w:jc w:val="both"/>
        <w:textAlignment w:val="auto"/>
        <w:rPr>
          <w:sz w:val="24"/>
        </w:rPr>
      </w:pPr>
      <w:r>
        <w:rPr>
          <w:rFonts w:hint="eastAsia"/>
          <w:sz w:val="24"/>
          <w:lang w:val="en-US" w:eastAsia="zh-CN"/>
        </w:rPr>
        <w:t xml:space="preserve">5.2 </w:t>
      </w:r>
      <w:r>
        <w:rPr>
          <w:sz w:val="24"/>
        </w:rPr>
        <w:t>重视职业健康安全</w:t>
      </w:r>
    </w:p>
    <w:p>
      <w:pPr>
        <w:pStyle w:val="4"/>
        <w:keepNext w:val="0"/>
        <w:keepLines w:val="0"/>
        <w:pageBreakBefore w:val="0"/>
        <w:kinsoku/>
        <w:wordWrap/>
        <w:overflowPunct/>
        <w:topLinePunct w:val="0"/>
        <w:autoSpaceDE w:val="0"/>
        <w:autoSpaceDN w:val="0"/>
        <w:bidi w:val="0"/>
        <w:spacing w:line="360" w:lineRule="auto"/>
        <w:ind w:left="0" w:right="0" w:firstLine="452" w:firstLineChars="200"/>
        <w:jc w:val="both"/>
        <w:textAlignment w:val="auto"/>
        <w:rPr>
          <w:rFonts w:ascii="宋体" w:hAnsi="宋体" w:eastAsia="宋体" w:cs="宋体"/>
          <w:spacing w:val="-7"/>
          <w:sz w:val="24"/>
          <w:szCs w:val="24"/>
          <w:lang w:val="zh-CN" w:eastAsia="zh-CN" w:bidi="zh-CN"/>
        </w:rPr>
      </w:pPr>
      <w:r>
        <w:rPr>
          <w:rFonts w:ascii="宋体" w:hAnsi="宋体" w:eastAsia="宋体" w:cs="宋体"/>
          <w:spacing w:val="-7"/>
          <w:sz w:val="24"/>
          <w:szCs w:val="24"/>
          <w:lang w:val="zh-CN" w:eastAsia="zh-CN" w:bidi="zh-CN"/>
        </w:rPr>
        <w:t>公司始终坚持“</w:t>
      </w:r>
      <w:r>
        <w:rPr>
          <w:rFonts w:hint="eastAsia" w:ascii="宋体" w:hAnsi="宋体" w:eastAsia="宋体" w:cs="宋体"/>
          <w:spacing w:val="-7"/>
          <w:sz w:val="24"/>
          <w:szCs w:val="24"/>
          <w:lang w:val="zh-CN" w:eastAsia="zh-CN" w:bidi="zh-CN"/>
        </w:rPr>
        <w:t>遵守国家、地方环境法律法规；坚持防治结合，不断改进，实现公司持续发展；提高环境意识，保护优美环境。安全第一，预防改进；行为规范，健康和谐</w:t>
      </w:r>
      <w:r>
        <w:rPr>
          <w:rFonts w:ascii="宋体" w:hAnsi="宋体" w:eastAsia="宋体" w:cs="宋体"/>
          <w:spacing w:val="-7"/>
          <w:sz w:val="24"/>
          <w:szCs w:val="24"/>
          <w:lang w:val="zh-CN" w:eastAsia="zh-CN" w:bidi="zh-CN"/>
        </w:rPr>
        <w:t>”的方针</w:t>
      </w:r>
      <w:r>
        <w:rPr>
          <w:rFonts w:hint="eastAsia" w:ascii="宋体" w:hAnsi="宋体" w:eastAsia="宋体" w:cs="宋体"/>
          <w:spacing w:val="-7"/>
          <w:sz w:val="24"/>
          <w:szCs w:val="24"/>
          <w:lang w:val="zh-CN" w:eastAsia="zh-CN" w:bidi="zh-CN"/>
        </w:rPr>
        <w:t>，</w:t>
      </w:r>
      <w:r>
        <w:rPr>
          <w:rFonts w:ascii="宋体" w:hAnsi="宋体" w:eastAsia="宋体" w:cs="宋体"/>
          <w:spacing w:val="-7"/>
          <w:sz w:val="24"/>
          <w:szCs w:val="24"/>
          <w:lang w:val="zh-CN" w:eastAsia="zh-CN" w:bidi="zh-CN"/>
        </w:rPr>
        <w:t>以超前预防作为安全工作的核心，以安全生产责任制为重点，以安全评价、考核、责任追究和过程动态控制为手段， 以安全教育培训为保障，以安全生产标准化为主体，建立安全生产的长效机制。</w:t>
      </w:r>
    </w:p>
    <w:p>
      <w:pPr>
        <w:pStyle w:val="4"/>
        <w:keepNext w:val="0"/>
        <w:keepLines w:val="0"/>
        <w:pageBreakBefore w:val="0"/>
        <w:kinsoku/>
        <w:wordWrap/>
        <w:overflowPunct/>
        <w:topLinePunct w:val="0"/>
        <w:autoSpaceDE w:val="0"/>
        <w:autoSpaceDN w:val="0"/>
        <w:bidi w:val="0"/>
        <w:spacing w:line="360" w:lineRule="auto"/>
        <w:ind w:left="0" w:right="0" w:firstLine="452" w:firstLineChars="200"/>
        <w:jc w:val="both"/>
        <w:textAlignment w:val="auto"/>
        <w:rPr>
          <w:spacing w:val="-4"/>
        </w:rPr>
      </w:pPr>
      <w:r>
        <w:rPr>
          <w:rFonts w:ascii="宋体" w:hAnsi="宋体" w:eastAsia="宋体" w:cs="宋体"/>
          <w:spacing w:val="-7"/>
          <w:sz w:val="24"/>
          <w:szCs w:val="24"/>
          <w:lang w:val="zh-CN" w:eastAsia="zh-CN" w:bidi="zh-CN"/>
        </w:rPr>
        <w:t>公司十分重视、关爱员工的健康，除了按照国家及地方有关社会保险方面的法律、</w:t>
      </w:r>
      <w:r>
        <w:rPr>
          <w:spacing w:val="-22"/>
        </w:rPr>
        <w:t>法规参加社会养老保险、基本医疗保险、工伤保险、生育险等社会保险</w:t>
      </w:r>
      <w:r>
        <w:rPr>
          <w:rFonts w:hint="eastAsia"/>
          <w:spacing w:val="-22"/>
        </w:rPr>
        <w:t>，</w:t>
      </w:r>
      <w:r>
        <w:rPr>
          <w:spacing w:val="-4"/>
        </w:rPr>
        <w:t>让职工更多的享受医疗保障，适度减轻个人住院费用负担、解决特殊工种岗位疾病导致的经济损失、补偿经常出差在外职工疾病、意外伤害和乘坐交通工具所引发的风险带来的损失，尽力完善员工的保障</w:t>
      </w:r>
      <w:r>
        <w:rPr>
          <w:rFonts w:hint="eastAsia"/>
          <w:spacing w:val="-4"/>
        </w:rPr>
        <w:t>范围，免除员工的后顾之忧。</w:t>
      </w:r>
    </w:p>
    <w:p>
      <w:pPr>
        <w:pStyle w:val="4"/>
        <w:keepNext w:val="0"/>
        <w:keepLines w:val="0"/>
        <w:pageBreakBefore w:val="0"/>
        <w:kinsoku/>
        <w:wordWrap/>
        <w:overflowPunct/>
        <w:topLinePunct w:val="0"/>
        <w:autoSpaceDE w:val="0"/>
        <w:autoSpaceDN w:val="0"/>
        <w:bidi w:val="0"/>
        <w:spacing w:line="360" w:lineRule="auto"/>
        <w:ind w:left="0" w:right="0" w:firstLine="464" w:firstLineChars="200"/>
        <w:jc w:val="both"/>
        <w:textAlignment w:val="auto"/>
      </w:pPr>
      <w:r>
        <w:rPr>
          <w:rFonts w:hint="eastAsia"/>
          <w:spacing w:val="-4"/>
        </w:rPr>
        <w:t>公司也十分重视职工群众的身心健康，内部成立的各类文娱小组</w:t>
      </w:r>
      <w:r>
        <w:rPr>
          <w:spacing w:val="-4"/>
        </w:rPr>
        <w:t>，积极开展活</w:t>
      </w:r>
      <w:r>
        <w:rPr>
          <w:spacing w:val="-21"/>
        </w:rPr>
        <w:t xml:space="preserve">动，并组织了包括篮球、羽毛球等多场比赛。职工可以根据自己的爱好特长和情趣， </w:t>
      </w:r>
      <w:r>
        <w:rPr>
          <w:spacing w:val="-7"/>
        </w:rPr>
        <w:t>展示自己的才华，提升品味，充实精神生活，既活跃了职工的精神生活，也增强了企业的向心力和凝聚力。</w:t>
      </w:r>
    </w:p>
    <w:p>
      <w:pPr>
        <w:pStyle w:val="15"/>
        <w:keepNext w:val="0"/>
        <w:keepLines w:val="0"/>
        <w:pageBreakBefore w:val="0"/>
        <w:numPr>
          <w:ilvl w:val="0"/>
          <w:numId w:val="0"/>
        </w:numPr>
        <w:tabs>
          <w:tab w:val="left" w:pos="540"/>
        </w:tabs>
        <w:kinsoku/>
        <w:wordWrap/>
        <w:overflowPunct/>
        <w:topLinePunct w:val="0"/>
        <w:autoSpaceDE w:val="0"/>
        <w:autoSpaceDN w:val="0"/>
        <w:bidi w:val="0"/>
        <w:spacing w:before="0" w:line="360" w:lineRule="auto"/>
        <w:ind w:leftChars="200" w:right="0" w:rightChars="0"/>
        <w:jc w:val="both"/>
        <w:textAlignment w:val="auto"/>
        <w:rPr>
          <w:sz w:val="24"/>
        </w:rPr>
      </w:pPr>
      <w:r>
        <w:rPr>
          <w:rFonts w:hint="eastAsia"/>
          <w:sz w:val="24"/>
          <w:lang w:val="en-US" w:eastAsia="zh-CN"/>
        </w:rPr>
        <w:t xml:space="preserve">5.3 </w:t>
      </w:r>
      <w:r>
        <w:rPr>
          <w:sz w:val="24"/>
        </w:rPr>
        <w:t>拓展员工职业成长</w:t>
      </w:r>
    </w:p>
    <w:p>
      <w:pPr>
        <w:pStyle w:val="4"/>
        <w:keepNext w:val="0"/>
        <w:keepLines w:val="0"/>
        <w:pageBreakBefore w:val="0"/>
        <w:kinsoku/>
        <w:wordWrap/>
        <w:overflowPunct/>
        <w:topLinePunct w:val="0"/>
        <w:autoSpaceDE w:val="0"/>
        <w:autoSpaceDN w:val="0"/>
        <w:bidi w:val="0"/>
        <w:spacing w:line="360" w:lineRule="auto"/>
        <w:ind w:left="0" w:right="0" w:firstLine="464" w:firstLineChars="200"/>
        <w:jc w:val="both"/>
        <w:textAlignment w:val="auto"/>
      </w:pPr>
      <w:r>
        <w:rPr>
          <w:spacing w:val="-4"/>
        </w:rPr>
        <w:t>随着公司产品结构优化调整步伐加快以及尽快提高公司技术创新能力，适应</w:t>
      </w:r>
      <w:r>
        <w:rPr>
          <w:spacing w:val="-10"/>
        </w:rPr>
        <w:t>市场对科技人才的需求，现有技术人员资源已不能满足公司发展的需要，为保证</w:t>
      </w:r>
      <w:r>
        <w:rPr>
          <w:spacing w:val="-13"/>
        </w:rPr>
        <w:t>公司各技术岗位能够及时有效地补充所需的优秀人才，适时、适度、适量地招收</w:t>
      </w:r>
      <w:r>
        <w:rPr>
          <w:spacing w:val="-17"/>
        </w:rPr>
        <w:t>一批不同地区不同学校的优秀大中专应届毕业生，并加以培养，使其尽快胜任工作，解决公司现有人力资源不足，改善公司人才结构，提高公司人才创新能力。</w:t>
      </w:r>
    </w:p>
    <w:p>
      <w:pPr>
        <w:pStyle w:val="4"/>
        <w:keepNext w:val="0"/>
        <w:keepLines w:val="0"/>
        <w:pageBreakBefore w:val="0"/>
        <w:kinsoku/>
        <w:wordWrap/>
        <w:overflowPunct/>
        <w:topLinePunct w:val="0"/>
        <w:autoSpaceDE w:val="0"/>
        <w:autoSpaceDN w:val="0"/>
        <w:bidi w:val="0"/>
        <w:spacing w:line="360" w:lineRule="auto"/>
        <w:ind w:left="0" w:right="0" w:firstLine="456" w:firstLineChars="200"/>
        <w:jc w:val="both"/>
        <w:textAlignment w:val="auto"/>
      </w:pPr>
      <w:r>
        <w:rPr>
          <w:spacing w:val="-6"/>
        </w:rPr>
        <w:t>公司在招聘引进人才的同时，注重人才培养措施，根据公司发展的需要和稳</w:t>
      </w:r>
      <w:r>
        <w:rPr>
          <w:spacing w:val="-12"/>
        </w:rPr>
        <w:t>定人才的工作实际，建立技术、管理、技能人才骨干队伍，争取逐步形成结构合</w:t>
      </w:r>
      <w:r>
        <w:rPr>
          <w:spacing w:val="-11"/>
        </w:rPr>
        <w:t>理、高效精干的人才队伍群体，以满足公司参与市场竞争和追赶世界先进水平的</w:t>
      </w:r>
      <w:r>
        <w:rPr>
          <w:spacing w:val="-20"/>
        </w:rPr>
        <w:t>需要。为此，企业制定了人才培养措施和人才培训计划，面向市场和研发，实施人力结构调整，着力建设后备人才库、</w:t>
      </w:r>
      <w:r>
        <w:rPr>
          <w:spacing w:val="-8"/>
        </w:rPr>
        <w:t>开发分类课程、优化内部讲师队伍、打造校企合作基地、依托网络系统搭建</w:t>
      </w:r>
      <w:r>
        <w:rPr>
          <w:rFonts w:hint="eastAsia"/>
          <w:spacing w:val="-8"/>
          <w:lang w:eastAsia="zh-CN"/>
        </w:rPr>
        <w:t>雷丰</w:t>
      </w:r>
      <w:r>
        <w:rPr>
          <w:spacing w:val="-12"/>
        </w:rPr>
        <w:t>网络学习平台，重点实施营销人才、核心管理人才、关键技术人才、重点高技</w:t>
      </w:r>
      <w:r>
        <w:rPr>
          <w:spacing w:val="-11"/>
        </w:rPr>
        <w:t>能人才、班组长、三年以内新员工、第二能力开发等几大人才培育专项工程。这</w:t>
      </w:r>
      <w:r>
        <w:rPr>
          <w:spacing w:val="-13"/>
        </w:rPr>
        <w:t>些措施计划，有利于增强人才队伍的责任感和使命感，强化企业荣誉感和忠诚教</w:t>
      </w:r>
      <w:r>
        <w:rPr>
          <w:spacing w:val="-11"/>
        </w:rPr>
        <w:t>育度，提高人才队伍的工作主动性、创造紧迫性，这不仅是公司发展需要，也是</w:t>
      </w:r>
      <w:r>
        <w:rPr>
          <w:spacing w:val="-15"/>
        </w:rPr>
        <w:t>国家建设制造强国的需要。公司不断完善用人机制，大力营造一个良好的施才环境，加大优秀人才的引进力度，以待遇吸引人，以事业留住人，以感情打动人。</w:t>
      </w:r>
      <w:r>
        <w:rPr>
          <w:spacing w:val="-22"/>
        </w:rPr>
        <w:t>采取多种渠道发现、培养、造就人才，实施“走出去、引进来”两条腿走路方略， 促进人才队伍技术技能素质的迅速提升。</w:t>
      </w:r>
    </w:p>
    <w:p>
      <w:pPr>
        <w:pStyle w:val="15"/>
        <w:keepNext w:val="0"/>
        <w:keepLines w:val="0"/>
        <w:pageBreakBefore w:val="0"/>
        <w:numPr>
          <w:ilvl w:val="0"/>
          <w:numId w:val="0"/>
        </w:numPr>
        <w:tabs>
          <w:tab w:val="left" w:pos="540"/>
        </w:tabs>
        <w:kinsoku/>
        <w:wordWrap/>
        <w:overflowPunct/>
        <w:topLinePunct w:val="0"/>
        <w:autoSpaceDE w:val="0"/>
        <w:autoSpaceDN w:val="0"/>
        <w:bidi w:val="0"/>
        <w:spacing w:before="0" w:line="360" w:lineRule="auto"/>
        <w:ind w:leftChars="200" w:right="0" w:rightChars="0"/>
        <w:jc w:val="both"/>
        <w:textAlignment w:val="auto"/>
        <w:rPr>
          <w:sz w:val="24"/>
        </w:rPr>
      </w:pPr>
      <w:r>
        <w:rPr>
          <w:rFonts w:hint="eastAsia"/>
          <w:sz w:val="24"/>
          <w:lang w:val="en-US" w:eastAsia="zh-CN"/>
        </w:rPr>
        <w:t xml:space="preserve">5.4 </w:t>
      </w:r>
      <w:r>
        <w:rPr>
          <w:sz w:val="24"/>
        </w:rPr>
        <w:t>完善管理体制与软环境建设</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t>公司建立了以人为本的人力资源开发和管理工作系统、激励机制和员工培训</w:t>
      </w:r>
      <w:r>
        <w:rPr>
          <w:spacing w:val="-1"/>
        </w:rPr>
        <w:t>与教育体系。公司始终坚持观念创新、制度创新的原则，创造一种公平、公正、</w:t>
      </w:r>
      <w:r>
        <w:rPr>
          <w:spacing w:val="-9"/>
        </w:rPr>
        <w:t>公开的氛围，建立一套充分发挥个人潜能的机制，提供一个充分实现自我价值的</w:t>
      </w:r>
      <w:r>
        <w:rPr>
          <w:spacing w:val="-11"/>
        </w:rPr>
        <w:t>发展空间。公司</w:t>
      </w:r>
      <w:r>
        <w:rPr>
          <w:rFonts w:hint="eastAsia"/>
          <w:spacing w:val="-11"/>
        </w:rPr>
        <w:t>行政部</w:t>
      </w:r>
      <w:r>
        <w:rPr>
          <w:spacing w:val="-11"/>
        </w:rPr>
        <w:t>对各部门岗位进行普查，并进行关键岗位识别，加大</w:t>
      </w:r>
      <w:r>
        <w:rPr>
          <w:spacing w:val="-21"/>
        </w:rPr>
        <w:t xml:space="preserve">对关键岗位的人力资源配置和管理，建设公司后备人才梯队，完善人才引入制度， </w:t>
      </w:r>
      <w:r>
        <w:t>形成“能吸引、有门槛、留得住、有限制”的合理化人力资源管理。</w:t>
      </w:r>
    </w:p>
    <w:p>
      <w:pPr>
        <w:pStyle w:val="4"/>
        <w:keepNext w:val="0"/>
        <w:keepLines w:val="0"/>
        <w:pageBreakBefore w:val="0"/>
        <w:kinsoku/>
        <w:wordWrap/>
        <w:overflowPunct/>
        <w:topLinePunct w:val="0"/>
        <w:autoSpaceDE w:val="0"/>
        <w:autoSpaceDN w:val="0"/>
        <w:bidi w:val="0"/>
        <w:spacing w:line="360" w:lineRule="auto"/>
        <w:ind w:left="0" w:right="0" w:firstLine="456" w:firstLineChars="200"/>
        <w:jc w:val="both"/>
        <w:textAlignment w:val="auto"/>
      </w:pPr>
      <w:r>
        <w:rPr>
          <w:spacing w:val="-6"/>
        </w:rPr>
        <w:t>人才的培养离不开软环境和硬环境的建设，软环境方面，加强技术人员、管</w:t>
      </w:r>
      <w:r>
        <w:rPr>
          <w:spacing w:val="-11"/>
        </w:rPr>
        <w:t>理人员、技术工人的团队建设，团队作为一个集体，是一个企业发展和竞争的核</w:t>
      </w:r>
      <w:r>
        <w:rPr>
          <w:spacing w:val="-21"/>
        </w:rPr>
        <w:t xml:space="preserve">心力量，企业与企业之间的竞争，关键是团队与团队之间的竞争，通过领导协调， </w:t>
      </w:r>
      <w:r>
        <w:rPr>
          <w:spacing w:val="-9"/>
        </w:rPr>
        <w:t>各团队分工合作，互敬、互爱、互助、互学，逐渐磨合，形成优势互补、取长补短，相互克服、相互激发，最终实现最高的工作效率。</w:t>
      </w:r>
    </w:p>
    <w:p>
      <w:pPr>
        <w:pStyle w:val="15"/>
        <w:keepNext w:val="0"/>
        <w:keepLines w:val="0"/>
        <w:pageBreakBefore w:val="0"/>
        <w:numPr>
          <w:ilvl w:val="0"/>
          <w:numId w:val="0"/>
        </w:numPr>
        <w:tabs>
          <w:tab w:val="left" w:pos="540"/>
        </w:tabs>
        <w:kinsoku/>
        <w:wordWrap/>
        <w:overflowPunct/>
        <w:topLinePunct w:val="0"/>
        <w:autoSpaceDE w:val="0"/>
        <w:autoSpaceDN w:val="0"/>
        <w:bidi w:val="0"/>
        <w:spacing w:before="0" w:line="360" w:lineRule="auto"/>
        <w:ind w:leftChars="200" w:right="0" w:rightChars="0"/>
        <w:jc w:val="both"/>
        <w:textAlignment w:val="auto"/>
        <w:rPr>
          <w:sz w:val="24"/>
        </w:rPr>
      </w:pPr>
      <w:r>
        <w:rPr>
          <w:rFonts w:hint="eastAsia"/>
          <w:sz w:val="24"/>
          <w:lang w:val="en-US" w:eastAsia="zh-CN"/>
        </w:rPr>
        <w:t xml:space="preserve">5.5 </w:t>
      </w:r>
      <w:r>
        <w:rPr>
          <w:sz w:val="24"/>
        </w:rPr>
        <w:t>构建祥和工作氛围</w:t>
      </w:r>
    </w:p>
    <w:p>
      <w:pPr>
        <w:pStyle w:val="4"/>
        <w:keepNext w:val="0"/>
        <w:keepLines w:val="0"/>
        <w:pageBreakBefore w:val="0"/>
        <w:kinsoku/>
        <w:wordWrap/>
        <w:overflowPunct/>
        <w:topLinePunct w:val="0"/>
        <w:autoSpaceDE w:val="0"/>
        <w:autoSpaceDN w:val="0"/>
        <w:bidi w:val="0"/>
        <w:spacing w:line="360" w:lineRule="auto"/>
        <w:ind w:left="0" w:right="0" w:firstLine="456" w:firstLineChars="200"/>
        <w:jc w:val="both"/>
        <w:textAlignment w:val="auto"/>
      </w:pPr>
      <w:r>
        <w:rPr>
          <w:spacing w:val="-6"/>
        </w:rPr>
        <w:t>公司十分注重调动全体员工的积极性，在推出与员工切身利益密切相关的政</w:t>
      </w:r>
      <w:r>
        <w:rPr>
          <w:spacing w:val="-10"/>
        </w:rPr>
        <w:t>策、规定时，公司都通过座谈会</w:t>
      </w:r>
      <w:r>
        <w:rPr>
          <w:rFonts w:hint="eastAsia"/>
          <w:spacing w:val="-10"/>
        </w:rPr>
        <w:t>、</w:t>
      </w:r>
      <w:r>
        <w:rPr>
          <w:spacing w:val="-10"/>
        </w:rPr>
        <w:t>专题调研等形式，广泛听取意见。对</w:t>
      </w:r>
      <w:r>
        <w:rPr>
          <w:spacing w:val="-14"/>
        </w:rPr>
        <w:t>职工反映的问题进行认真地调查并通过职工代表大会方式进行讨论、研究，给予解决和答复，使广大员工感受到自己是企业的主人，企业是自己的家。</w:t>
      </w:r>
      <w:r>
        <w:rPr>
          <w:spacing w:val="-6"/>
        </w:rPr>
        <w:t>为使员工了解企业的经营情况、发展战略、改革措施等重大事项，搭建员工与高</w:t>
      </w:r>
      <w:r>
        <w:rPr>
          <w:spacing w:val="-7"/>
        </w:rPr>
        <w:t xml:space="preserve">层管理人员的有效沟通平台和渠道。公司工会制定了员工定期座谈会管理办法， </w:t>
      </w:r>
      <w:r>
        <w:rPr>
          <w:spacing w:val="-20"/>
        </w:rPr>
        <w:t>每月</w:t>
      </w:r>
      <w:r>
        <w:rPr>
          <w:rFonts w:hint="eastAsia"/>
        </w:rPr>
        <w:t>有固定时间</w:t>
      </w:r>
      <w:r>
        <w:rPr>
          <w:spacing w:val="-8"/>
        </w:rPr>
        <w:t>定为员工接待日，听取员工对公司发展过程中的意见和建议及员工最关心、最直接的问题和意见，解答员工的凝问。</w:t>
      </w:r>
    </w:p>
    <w:p>
      <w:pPr>
        <w:pStyle w:val="4"/>
        <w:keepNext w:val="0"/>
        <w:keepLines w:val="0"/>
        <w:pageBreakBefore w:val="0"/>
        <w:kinsoku/>
        <w:wordWrap/>
        <w:overflowPunct/>
        <w:topLinePunct w:val="0"/>
        <w:autoSpaceDE w:val="0"/>
        <w:autoSpaceDN w:val="0"/>
        <w:bidi w:val="0"/>
        <w:spacing w:line="360" w:lineRule="auto"/>
        <w:ind w:left="0" w:right="0" w:firstLine="440" w:firstLineChars="200"/>
        <w:jc w:val="both"/>
        <w:textAlignment w:val="auto"/>
      </w:pPr>
      <w:r>
        <w:rPr>
          <w:spacing w:val="-10"/>
        </w:rPr>
        <w:t>同时，通过举办多种多样的文艺活动、培训讨论等活</w:t>
      </w:r>
      <w:r>
        <w:rPr>
          <w:spacing w:val="-7"/>
        </w:rPr>
        <w:t>动来增强员工凝聚力和向心力，提高员工身心素质。家庭是企业的细胞，只有职</w:t>
      </w:r>
      <w:r>
        <w:rPr>
          <w:spacing w:val="-8"/>
        </w:rPr>
        <w:t>工家庭唱响和谐之音，职工才能全力以赴地投入到工作中，企业才能实现稳定发</w:t>
      </w:r>
      <w:r>
        <w:rPr>
          <w:spacing w:val="-10"/>
        </w:rPr>
        <w:t>展。公司深入实施文明家庭创建工程，努力构建和谐稳定家园，为公司的稳定健</w:t>
      </w:r>
      <w:r>
        <w:t>康发展创造安定向上的良好氛围。</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p>
    <w:p>
      <w:pPr>
        <w:pStyle w:val="2"/>
        <w:keepNext w:val="0"/>
        <w:keepLines w:val="0"/>
        <w:pageBreakBefore w:val="0"/>
        <w:numPr>
          <w:ilvl w:val="0"/>
          <w:numId w:val="0"/>
        </w:numPr>
        <w:kinsoku/>
        <w:wordWrap/>
        <w:overflowPunct/>
        <w:topLinePunct w:val="0"/>
        <w:autoSpaceDE w:val="0"/>
        <w:autoSpaceDN w:val="0"/>
        <w:bidi w:val="0"/>
        <w:spacing w:line="360" w:lineRule="auto"/>
        <w:ind w:leftChars="200" w:right="0" w:rightChars="0" w:firstLine="281" w:firstLineChars="100"/>
        <w:jc w:val="both"/>
        <w:textAlignment w:val="auto"/>
        <w:rPr>
          <w:b/>
          <w:bCs/>
        </w:rPr>
      </w:pPr>
      <w:bookmarkStart w:id="13" w:name="七、奉献社会"/>
      <w:bookmarkEnd w:id="13"/>
      <w:bookmarkStart w:id="14" w:name="_Toc24531711"/>
      <w:r>
        <w:rPr>
          <w:rFonts w:hint="eastAsia"/>
          <w:b/>
          <w:bCs/>
          <w:lang w:val="en-US" w:eastAsia="zh-CN"/>
        </w:rPr>
        <w:t>六、</w:t>
      </w:r>
      <w:r>
        <w:rPr>
          <w:b/>
          <w:bCs/>
        </w:rPr>
        <w:t>奉献社会</w:t>
      </w:r>
      <w:bookmarkEnd w:id="14"/>
    </w:p>
    <w:p>
      <w:pPr>
        <w:widowControl w:val="0"/>
        <w:numPr>
          <w:ilvl w:val="0"/>
          <w:numId w:val="0"/>
        </w:numPr>
        <w:autoSpaceDE w:val="0"/>
        <w:autoSpaceDN w:val="0"/>
      </w:pP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rPr>
          <w:szCs w:val="22"/>
        </w:rPr>
      </w:pPr>
      <w:r>
        <w:rPr>
          <w:rFonts w:hint="eastAsia"/>
          <w:szCs w:val="22"/>
        </w:rPr>
        <w:t>公司发展离不开社会各界的支持，同时公司对社会也应履行社会责任。公司领导十分重视公益支持，积极主动履行公共责任，回报社会。</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rPr>
          <w:rFonts w:hint="eastAsia"/>
          <w:szCs w:val="22"/>
        </w:rPr>
      </w:pPr>
      <w:r>
        <w:rPr>
          <w:rFonts w:hint="eastAsia"/>
          <w:szCs w:val="22"/>
        </w:rPr>
        <w:t>结合公司的发展战略，在公司战略规划上，专门规划出部分资金用于的公益活动。公司领导以身作则积极参与社会的公益活动。</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rPr>
          <w:rFonts w:hint="eastAsia"/>
          <w:szCs w:val="22"/>
        </w:rPr>
      </w:pPr>
    </w:p>
    <w:p>
      <w:pPr>
        <w:pStyle w:val="2"/>
        <w:keepNext w:val="0"/>
        <w:keepLines w:val="0"/>
        <w:pageBreakBefore w:val="0"/>
        <w:kinsoku/>
        <w:wordWrap/>
        <w:overflowPunct/>
        <w:topLinePunct w:val="0"/>
        <w:autoSpaceDE w:val="0"/>
        <w:autoSpaceDN w:val="0"/>
        <w:bidi w:val="0"/>
        <w:spacing w:line="360" w:lineRule="auto"/>
        <w:ind w:left="0" w:right="0" w:firstLine="562" w:firstLineChars="200"/>
        <w:jc w:val="both"/>
        <w:textAlignment w:val="auto"/>
        <w:rPr>
          <w:b/>
          <w:bCs/>
        </w:rPr>
      </w:pPr>
      <w:bookmarkStart w:id="15" w:name="八、合作伙伴"/>
      <w:bookmarkEnd w:id="15"/>
      <w:bookmarkStart w:id="16" w:name="_Toc24531712"/>
      <w:r>
        <w:rPr>
          <w:rFonts w:hint="eastAsia"/>
          <w:b/>
          <w:bCs/>
          <w:lang w:val="en-US" w:eastAsia="zh-CN"/>
        </w:rPr>
        <w:t>七</w:t>
      </w:r>
      <w:r>
        <w:rPr>
          <w:b/>
          <w:bCs/>
        </w:rPr>
        <w:t>、合作伙伴</w:t>
      </w:r>
      <w:bookmarkEnd w:id="16"/>
    </w:p>
    <w:p>
      <w:pPr>
        <w:pStyle w:val="4"/>
        <w:keepNext w:val="0"/>
        <w:keepLines w:val="0"/>
        <w:pageBreakBefore w:val="0"/>
        <w:kinsoku/>
        <w:wordWrap/>
        <w:overflowPunct/>
        <w:topLinePunct w:val="0"/>
        <w:autoSpaceDE w:val="0"/>
        <w:autoSpaceDN w:val="0"/>
        <w:bidi w:val="0"/>
        <w:spacing w:line="360" w:lineRule="auto"/>
        <w:ind w:left="0" w:right="0" w:firstLine="440" w:firstLineChars="200"/>
        <w:jc w:val="both"/>
        <w:textAlignment w:val="auto"/>
        <w:rPr>
          <w:sz w:val="22"/>
        </w:rPr>
      </w:pPr>
    </w:p>
    <w:p>
      <w:pPr>
        <w:pStyle w:val="4"/>
        <w:keepNext w:val="0"/>
        <w:keepLines w:val="0"/>
        <w:pageBreakBefore w:val="0"/>
        <w:kinsoku/>
        <w:wordWrap/>
        <w:overflowPunct/>
        <w:topLinePunct w:val="0"/>
        <w:autoSpaceDE w:val="0"/>
        <w:autoSpaceDN w:val="0"/>
        <w:bidi w:val="0"/>
        <w:spacing w:line="360" w:lineRule="auto"/>
        <w:ind w:left="0" w:right="0" w:firstLine="456" w:firstLineChars="200"/>
        <w:jc w:val="both"/>
        <w:textAlignment w:val="auto"/>
      </w:pPr>
      <w:r>
        <w:rPr>
          <w:spacing w:val="-6"/>
        </w:rPr>
        <w:t>每一个伙伴关系都有其独特的成功因素，这与公司独特的环境相关联。然而</w:t>
      </w:r>
      <w:r>
        <w:rPr>
          <w:spacing w:val="-7"/>
        </w:rPr>
        <w:t>在不同产业国家与市场中，每个成功企业的业绩后面，有三个共同的因素存在于</w:t>
      </w:r>
      <w:r>
        <w:rPr>
          <w:spacing w:val="-9"/>
        </w:rPr>
        <w:t>每个成功的伙伴关系中：贡献、亲密、远景。这三个因素是促使伙伴关系成功不</w:t>
      </w:r>
      <w:r>
        <w:t>可或缺的因素。</w:t>
      </w:r>
    </w:p>
    <w:p>
      <w:pPr>
        <w:pStyle w:val="15"/>
        <w:keepNext w:val="0"/>
        <w:keepLines w:val="0"/>
        <w:pageBreakBefore w:val="0"/>
        <w:numPr>
          <w:ilvl w:val="0"/>
          <w:numId w:val="0"/>
        </w:numPr>
        <w:tabs>
          <w:tab w:val="left" w:pos="540"/>
        </w:tabs>
        <w:kinsoku/>
        <w:wordWrap/>
        <w:overflowPunct/>
        <w:topLinePunct w:val="0"/>
        <w:autoSpaceDE w:val="0"/>
        <w:autoSpaceDN w:val="0"/>
        <w:bidi w:val="0"/>
        <w:spacing w:before="0" w:line="360" w:lineRule="auto"/>
        <w:ind w:leftChars="200" w:right="0" w:rightChars="0"/>
        <w:jc w:val="both"/>
        <w:textAlignment w:val="auto"/>
        <w:rPr>
          <w:sz w:val="24"/>
        </w:rPr>
      </w:pPr>
      <w:r>
        <w:rPr>
          <w:rFonts w:hint="eastAsia"/>
          <w:sz w:val="24"/>
          <w:lang w:val="en-US" w:eastAsia="zh-CN"/>
        </w:rPr>
        <w:t xml:space="preserve">7.1 </w:t>
      </w:r>
      <w:r>
        <w:rPr>
          <w:rFonts w:hint="eastAsia"/>
          <w:sz w:val="24"/>
        </w:rPr>
        <w:t>共享共赢</w:t>
      </w:r>
    </w:p>
    <w:p>
      <w:pPr>
        <w:pStyle w:val="4"/>
        <w:keepNext w:val="0"/>
        <w:keepLines w:val="0"/>
        <w:pageBreakBefore w:val="0"/>
        <w:kinsoku/>
        <w:wordWrap/>
        <w:overflowPunct/>
        <w:topLinePunct w:val="0"/>
        <w:autoSpaceDE w:val="0"/>
        <w:autoSpaceDN w:val="0"/>
        <w:bidi w:val="0"/>
        <w:spacing w:line="360" w:lineRule="auto"/>
        <w:ind w:left="0" w:right="0" w:firstLine="432" w:firstLineChars="200"/>
        <w:jc w:val="both"/>
        <w:textAlignment w:val="auto"/>
      </w:pPr>
      <w:r>
        <w:rPr>
          <w:spacing w:val="-12"/>
        </w:rPr>
        <w:t>公司早</w:t>
      </w:r>
      <w:r>
        <w:rPr>
          <w:spacing w:val="-15"/>
        </w:rPr>
        <w:t xml:space="preserve">年就推行供应商整合调整项目，即培养一批优秀的供应商， </w:t>
      </w:r>
      <w:r>
        <w:rPr>
          <w:spacing w:val="-5"/>
        </w:rPr>
        <w:t>合并或放弃一批零散繁杂的小供应商，使得供应商的积极性得到了充分发挥，公</w:t>
      </w:r>
      <w:r>
        <w:rPr>
          <w:spacing w:val="-10"/>
        </w:rPr>
        <w:t>司与供应商的关系不再是简单的买卖关系，而是一种共生共荣</w:t>
      </w:r>
      <w:r>
        <w:rPr>
          <w:rFonts w:hint="eastAsia"/>
          <w:spacing w:val="-10"/>
        </w:rPr>
        <w:t>，共享共赢</w:t>
      </w:r>
      <w:r>
        <w:rPr>
          <w:spacing w:val="-10"/>
        </w:rPr>
        <w:t>的战略合作伙伴关</w:t>
      </w:r>
      <w:r>
        <w:rPr>
          <w:spacing w:val="-13"/>
        </w:rPr>
        <w:t>系。目前，公司与</w:t>
      </w:r>
      <w:r>
        <w:rPr>
          <w:spacing w:val="-10"/>
        </w:rPr>
        <w:t>国内大型知名</w:t>
      </w:r>
      <w:r>
        <w:rPr>
          <w:rFonts w:hint="eastAsia"/>
          <w:spacing w:val="-10"/>
          <w:lang w:val="en-US" w:eastAsia="zh-CN"/>
        </w:rPr>
        <w:t>企业</w:t>
      </w:r>
      <w:r>
        <w:rPr>
          <w:spacing w:val="-10"/>
        </w:rPr>
        <w:t>建立了良好的合作关系。</w:t>
      </w:r>
    </w:p>
    <w:p>
      <w:pPr>
        <w:pStyle w:val="15"/>
        <w:keepNext w:val="0"/>
        <w:keepLines w:val="0"/>
        <w:pageBreakBefore w:val="0"/>
        <w:numPr>
          <w:ilvl w:val="0"/>
          <w:numId w:val="0"/>
        </w:numPr>
        <w:tabs>
          <w:tab w:val="left" w:pos="540"/>
        </w:tabs>
        <w:kinsoku/>
        <w:wordWrap/>
        <w:overflowPunct/>
        <w:topLinePunct w:val="0"/>
        <w:autoSpaceDE w:val="0"/>
        <w:autoSpaceDN w:val="0"/>
        <w:bidi w:val="0"/>
        <w:spacing w:before="0" w:line="360" w:lineRule="auto"/>
        <w:ind w:leftChars="200" w:right="0" w:rightChars="0"/>
        <w:jc w:val="both"/>
        <w:textAlignment w:val="auto"/>
        <w:rPr>
          <w:sz w:val="24"/>
        </w:rPr>
      </w:pPr>
      <w:r>
        <w:rPr>
          <w:rFonts w:hint="eastAsia"/>
          <w:sz w:val="24"/>
          <w:lang w:val="en-US" w:eastAsia="zh-CN"/>
        </w:rPr>
        <w:t xml:space="preserve">7.2 </w:t>
      </w:r>
      <w:r>
        <w:rPr>
          <w:sz w:val="24"/>
        </w:rPr>
        <w:t>杜绝商业贿赂</w:t>
      </w:r>
    </w:p>
    <w:p>
      <w:pPr>
        <w:pStyle w:val="4"/>
        <w:keepNext w:val="0"/>
        <w:keepLines w:val="0"/>
        <w:pageBreakBefore w:val="0"/>
        <w:kinsoku/>
        <w:wordWrap/>
        <w:overflowPunct/>
        <w:topLinePunct w:val="0"/>
        <w:autoSpaceDE w:val="0"/>
        <w:autoSpaceDN w:val="0"/>
        <w:bidi w:val="0"/>
        <w:spacing w:line="360" w:lineRule="auto"/>
        <w:ind w:left="0" w:right="0" w:firstLine="444" w:firstLineChars="200"/>
        <w:jc w:val="both"/>
        <w:textAlignment w:val="auto"/>
      </w:pPr>
      <w:r>
        <w:rPr>
          <w:spacing w:val="-9"/>
        </w:rPr>
        <w:t>随着公司的发展，供应商采购管理中的地位显得越来越重要。公司对供应商</w:t>
      </w:r>
      <w:r>
        <w:rPr>
          <w:spacing w:val="-10"/>
        </w:rPr>
        <w:t>的选择是在</w:t>
      </w:r>
      <w:r>
        <w:rPr>
          <w:rFonts w:cs="Arial"/>
          <w:color w:val="333333"/>
          <w:sz w:val="24"/>
          <w:szCs w:val="24"/>
        </w:rPr>
        <w:t>GB/T19001</w:t>
      </w:r>
      <w:r>
        <w:rPr>
          <w:rFonts w:hint="eastAsia" w:cs="Arial"/>
          <w:color w:val="333333"/>
          <w:sz w:val="24"/>
          <w:szCs w:val="24"/>
        </w:rPr>
        <w:t>-</w:t>
      </w:r>
      <w:r>
        <w:rPr>
          <w:rFonts w:cs="Arial"/>
          <w:color w:val="333333"/>
          <w:sz w:val="24"/>
          <w:szCs w:val="24"/>
        </w:rPr>
        <w:t>201</w:t>
      </w:r>
      <w:r>
        <w:rPr>
          <w:rFonts w:hint="eastAsia" w:cs="Arial"/>
          <w:color w:val="333333"/>
          <w:sz w:val="24"/>
          <w:szCs w:val="24"/>
        </w:rPr>
        <w:t>6</w:t>
      </w:r>
      <w:r>
        <w:rPr>
          <w:rFonts w:cs="Arial"/>
          <w:color w:val="333333"/>
          <w:sz w:val="24"/>
          <w:szCs w:val="24"/>
        </w:rPr>
        <w:t xml:space="preserve"> </w:t>
      </w:r>
      <w:r>
        <w:rPr>
          <w:rFonts w:hint="eastAsia" w:cs="Arial"/>
          <w:color w:val="333333"/>
          <w:sz w:val="24"/>
          <w:szCs w:val="24"/>
        </w:rPr>
        <w:t>和</w:t>
      </w:r>
      <w:r>
        <w:rPr>
          <w:rFonts w:cs="Arial"/>
          <w:color w:val="333333"/>
          <w:sz w:val="24"/>
          <w:szCs w:val="24"/>
        </w:rPr>
        <w:t>GB/T24001</w:t>
      </w:r>
      <w:r>
        <w:rPr>
          <w:rFonts w:hint="eastAsia" w:cs="Arial"/>
          <w:color w:val="333333"/>
          <w:sz w:val="24"/>
          <w:szCs w:val="24"/>
        </w:rPr>
        <w:t>-</w:t>
      </w:r>
      <w:r>
        <w:rPr>
          <w:rFonts w:cs="Arial"/>
          <w:color w:val="333333"/>
          <w:sz w:val="24"/>
          <w:szCs w:val="24"/>
        </w:rPr>
        <w:t>201</w:t>
      </w:r>
      <w:r>
        <w:rPr>
          <w:rFonts w:hint="eastAsia" w:cs="Arial"/>
          <w:color w:val="333333"/>
          <w:sz w:val="24"/>
          <w:szCs w:val="24"/>
        </w:rPr>
        <w:t>6、</w:t>
      </w:r>
      <w:r>
        <w:rPr>
          <w:rFonts w:hint="eastAsia" w:cs="Arial"/>
          <w:color w:val="333333"/>
          <w:sz w:val="24"/>
          <w:szCs w:val="24"/>
          <w:lang w:eastAsia="zh-CN"/>
        </w:rPr>
        <w:t>GB/T45001-2020</w:t>
      </w:r>
      <w:r>
        <w:rPr>
          <w:spacing w:val="-11"/>
        </w:rPr>
        <w:t>三大体系文件的原则下进行的</w:t>
      </w:r>
      <w:r>
        <w:t>。</w:t>
      </w:r>
      <w:bookmarkStart w:id="17" w:name="九、社会认可"/>
      <w:bookmarkEnd w:id="17"/>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p>
    <w:p>
      <w:pPr>
        <w:pStyle w:val="2"/>
        <w:keepNext w:val="0"/>
        <w:keepLines w:val="0"/>
        <w:pageBreakBefore w:val="0"/>
        <w:kinsoku/>
        <w:wordWrap/>
        <w:overflowPunct/>
        <w:topLinePunct w:val="0"/>
        <w:autoSpaceDE w:val="0"/>
        <w:autoSpaceDN w:val="0"/>
        <w:bidi w:val="0"/>
        <w:spacing w:line="360" w:lineRule="auto"/>
        <w:ind w:left="0" w:right="0" w:firstLine="562" w:firstLineChars="200"/>
        <w:jc w:val="both"/>
        <w:textAlignment w:val="auto"/>
        <w:rPr>
          <w:b/>
          <w:bCs/>
        </w:rPr>
      </w:pPr>
      <w:bookmarkStart w:id="18" w:name="十、存在问题及改进"/>
      <w:bookmarkEnd w:id="18"/>
      <w:bookmarkStart w:id="19" w:name="_Toc24531713"/>
      <w:r>
        <w:rPr>
          <w:rFonts w:hint="eastAsia"/>
          <w:b/>
          <w:bCs/>
          <w:lang w:val="en-US" w:eastAsia="zh-CN"/>
        </w:rPr>
        <w:t>八</w:t>
      </w:r>
      <w:r>
        <w:rPr>
          <w:b/>
          <w:bCs/>
        </w:rPr>
        <w:t>、存在问题及改进</w:t>
      </w:r>
      <w:bookmarkEnd w:id="19"/>
    </w:p>
    <w:p>
      <w:pPr>
        <w:pStyle w:val="4"/>
        <w:keepNext w:val="0"/>
        <w:keepLines w:val="0"/>
        <w:pageBreakBefore w:val="0"/>
        <w:kinsoku/>
        <w:wordWrap/>
        <w:overflowPunct/>
        <w:topLinePunct w:val="0"/>
        <w:autoSpaceDE w:val="0"/>
        <w:autoSpaceDN w:val="0"/>
        <w:bidi w:val="0"/>
        <w:spacing w:line="360" w:lineRule="auto"/>
        <w:ind w:left="0" w:right="0" w:firstLine="440" w:firstLineChars="200"/>
        <w:jc w:val="both"/>
        <w:textAlignment w:val="auto"/>
        <w:rPr>
          <w:sz w:val="22"/>
        </w:rPr>
      </w:pP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pPr>
      <w:r>
        <w:t>公司在履行社会责任各方面做了大量的工作，但与相关规定仍存在差距。</w:t>
      </w:r>
      <w:r>
        <w:rPr>
          <w:rFonts w:hint="eastAsia"/>
          <w:lang w:eastAsia="zh-CN"/>
        </w:rPr>
        <w:t>202</w:t>
      </w:r>
      <w:r>
        <w:rPr>
          <w:rFonts w:hint="eastAsia"/>
          <w:lang w:val="en-US" w:eastAsia="zh-CN"/>
        </w:rPr>
        <w:t>0</w:t>
      </w:r>
      <w:r>
        <w:t>年，经济下行压力增大，市场需求低迷，面对中国经济新常态下的发展，不得不面对</w:t>
      </w:r>
      <w:r>
        <w:rPr>
          <w:rFonts w:hint="eastAsia"/>
          <w:lang w:val="en-US" w:eastAsia="zh-CN"/>
        </w:rPr>
        <w:t>雷丰</w:t>
      </w:r>
      <w:r>
        <w:t>转型发展中的不适应：一是规模和效益方面：</w:t>
      </w:r>
      <w:r>
        <w:rPr>
          <w:rFonts w:hint="eastAsia"/>
          <w:lang w:eastAsia="zh-CN"/>
        </w:rPr>
        <w:t>2020</w:t>
      </w:r>
      <w:r>
        <w:rPr>
          <w:spacing w:val="-20"/>
        </w:rPr>
        <w:t>年以</w:t>
      </w:r>
      <w:r>
        <w:rPr>
          <w:spacing w:val="-22"/>
        </w:rPr>
        <w:t>来，公司整体经济效益</w:t>
      </w:r>
      <w:r>
        <w:rPr>
          <w:rFonts w:hint="eastAsia"/>
          <w:spacing w:val="-22"/>
        </w:rPr>
        <w:t>增长趋势走低</w:t>
      </w:r>
      <w:r>
        <w:rPr>
          <w:spacing w:val="-22"/>
        </w:rPr>
        <w:t>，公司经营管理有待进一步完善。</w:t>
      </w:r>
      <w:r>
        <w:rPr>
          <w:spacing w:val="-7"/>
        </w:rPr>
        <w:t>二是人员结构和薪酬方面：人员结构优化结果与预期还有差距，薪酬结构和薪酬</w:t>
      </w:r>
      <w:r>
        <w:t>水平与规模和效益不匹配，有待进一步深化改革。三是国际化的竞争水平不高， 国际化战略刚见雏形、国际化市场资源配备不科学。四是商业模式传统并单一， 还未完全实现</w:t>
      </w:r>
      <w:r>
        <w:rPr>
          <w:rFonts w:hint="eastAsia"/>
        </w:rPr>
        <w:t>生产</w:t>
      </w:r>
      <w:r>
        <w:t>服务商转型。</w:t>
      </w:r>
    </w:p>
    <w:p>
      <w:pPr>
        <w:pStyle w:val="4"/>
        <w:spacing w:line="360" w:lineRule="auto"/>
        <w:ind w:firstLine="480" w:firstLineChars="200"/>
        <w:rPr>
          <w:rFonts w:hint="default"/>
          <w:lang w:val="en-US"/>
        </w:rPr>
      </w:pPr>
      <w:r>
        <w:t>未来三年，是我们 “雄鹰展翅翱翔”之</w:t>
      </w:r>
      <w:r>
        <w:rPr>
          <w:rFonts w:ascii="宋体" w:hAnsi="宋体" w:eastAsia="宋体" w:cs="宋体"/>
        </w:rPr>
        <w:t>年</w:t>
      </w:r>
      <w:r>
        <w:t>。公司将继续专注于</w:t>
      </w:r>
      <w:r>
        <w:rPr>
          <w:rFonts w:hint="eastAsia"/>
          <w:lang w:val="en-US" w:eastAsia="zh-CN"/>
        </w:rPr>
        <w:t>模具、塑料制品、塑料加工</w:t>
      </w:r>
      <w:r>
        <w:t>的研发、生产和销售业务，瞄准国际前沿技术，坚持以实业经营为根本，以资本运作为手段，二者循环促进，推动公司成为</w:t>
      </w:r>
      <w:r>
        <w:rPr>
          <w:rFonts w:hint="eastAsia"/>
          <w:lang w:val="en-US" w:eastAsia="zh-CN"/>
        </w:rPr>
        <w:t>模具、塑料制品、塑料加工</w:t>
      </w:r>
      <w:r>
        <w:t xml:space="preserve">的创新者和领导者， </w:t>
      </w:r>
      <w:r>
        <w:rPr>
          <w:rFonts w:hint="eastAsia"/>
        </w:rPr>
        <w:t>贯彻“</w:t>
      </w:r>
      <w:r>
        <w:rPr>
          <w:rFonts w:hint="eastAsia"/>
          <w:lang w:val="en-US" w:eastAsia="zh-CN"/>
        </w:rPr>
        <w:t>制造精品、诚信经营</w:t>
      </w:r>
      <w:r>
        <w:rPr>
          <w:rFonts w:hint="eastAsia"/>
        </w:rPr>
        <w:t>”的经营理念，最终实现</w:t>
      </w:r>
      <w:r>
        <w:t xml:space="preserve"> “</w:t>
      </w:r>
      <w:r>
        <w:rPr>
          <w:rFonts w:hint="eastAsia"/>
          <w:lang w:eastAsia="zh-CN"/>
        </w:rPr>
        <w:t>打造国内一流的</w:t>
      </w:r>
      <w:r>
        <w:rPr>
          <w:rFonts w:hint="eastAsia"/>
          <w:lang w:val="en-US" w:eastAsia="zh-CN"/>
        </w:rPr>
        <w:t>生产</w:t>
      </w:r>
      <w:r>
        <w:rPr>
          <w:rFonts w:hint="eastAsia"/>
          <w:lang w:eastAsia="zh-CN"/>
        </w:rPr>
        <w:t>企业”</w:t>
      </w:r>
      <w:r>
        <w:rPr>
          <w:rFonts w:hint="eastAsia"/>
          <w:lang w:val="en-US" w:eastAsia="zh-CN"/>
        </w:rPr>
        <w:t>的公司愿景。</w:t>
      </w:r>
    </w:p>
    <w:p>
      <w:pPr>
        <w:pStyle w:val="4"/>
        <w:keepNext w:val="0"/>
        <w:keepLines w:val="0"/>
        <w:pageBreakBefore w:val="0"/>
        <w:kinsoku/>
        <w:wordWrap/>
        <w:overflowPunct/>
        <w:topLinePunct w:val="0"/>
        <w:autoSpaceDE w:val="0"/>
        <w:autoSpaceDN w:val="0"/>
        <w:bidi w:val="0"/>
        <w:spacing w:line="360" w:lineRule="auto"/>
        <w:ind w:left="0" w:right="0" w:firstLine="436" w:firstLineChars="200"/>
        <w:jc w:val="both"/>
        <w:textAlignment w:val="auto"/>
        <w:rPr>
          <w:spacing w:val="-11"/>
        </w:rPr>
      </w:pPr>
      <w:r>
        <w:rPr>
          <w:rFonts w:hint="eastAsia"/>
          <w:spacing w:val="-11"/>
        </w:rPr>
        <w:t>明确了发展战略为：</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rPr>
          <w:rFonts w:hint="eastAsia" w:ascii="宋体" w:hAnsi="宋体" w:cs="宋体"/>
          <w:szCs w:val="21"/>
          <w:highlight w:val="none"/>
        </w:rPr>
      </w:pPr>
      <w:r>
        <w:rPr>
          <w:rFonts w:hint="eastAsia" w:ascii="宋体" w:hAnsi="宋体" w:cs="宋体"/>
          <w:szCs w:val="21"/>
          <w:highlight w:val="none"/>
        </w:rPr>
        <w:t>至202</w:t>
      </w:r>
      <w:r>
        <w:rPr>
          <w:rFonts w:hint="eastAsia" w:cs="宋体"/>
          <w:szCs w:val="21"/>
          <w:highlight w:val="none"/>
          <w:lang w:val="en-US" w:eastAsia="zh-CN"/>
        </w:rPr>
        <w:t>7</w:t>
      </w:r>
      <w:r>
        <w:rPr>
          <w:rFonts w:hint="eastAsia" w:ascii="宋体" w:hAnsi="宋体" w:cs="宋体"/>
          <w:szCs w:val="21"/>
          <w:highlight w:val="none"/>
        </w:rPr>
        <w:t>年，</w:t>
      </w:r>
      <w:r>
        <w:rPr>
          <w:rFonts w:hint="eastAsia" w:ascii="宋体" w:hAnsi="宋体" w:cs="宋体"/>
          <w:szCs w:val="21"/>
          <w:highlight w:val="none"/>
          <w:lang w:val="en-US" w:eastAsia="zh-CN"/>
        </w:rPr>
        <w:t>成为</w:t>
      </w:r>
      <w:r>
        <w:rPr>
          <w:rFonts w:hint="eastAsia" w:cs="宋体"/>
          <w:szCs w:val="21"/>
          <w:highlight w:val="none"/>
          <w:lang w:val="en-US" w:eastAsia="zh-CN"/>
        </w:rPr>
        <w:t>采购单位的</w:t>
      </w:r>
      <w:r>
        <w:rPr>
          <w:rFonts w:hint="eastAsia" w:ascii="宋体" w:hAnsi="宋体" w:cs="宋体"/>
          <w:szCs w:val="21"/>
          <w:highlight w:val="none"/>
          <w:lang w:val="en-US" w:eastAsia="zh-CN"/>
        </w:rPr>
        <w:t>首选供应商</w:t>
      </w:r>
      <w:r>
        <w:rPr>
          <w:rFonts w:hint="eastAsia" w:ascii="宋体" w:hAnsi="宋体" w:cs="宋体"/>
          <w:szCs w:val="21"/>
          <w:highlight w:val="none"/>
        </w:rPr>
        <w:t>。</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rPr>
          <w:rFonts w:hint="eastAsia" w:ascii="宋体" w:hAnsi="宋体" w:cs="宋体"/>
          <w:szCs w:val="21"/>
          <w:highlight w:val="none"/>
        </w:rPr>
      </w:pPr>
      <w:r>
        <w:rPr>
          <w:rFonts w:hint="eastAsia" w:cs="宋体"/>
          <w:szCs w:val="21"/>
          <w:highlight w:val="none"/>
          <w:lang w:eastAsia="zh-CN"/>
        </w:rPr>
        <w:t>台州雷丰</w:t>
      </w:r>
      <w:r>
        <w:rPr>
          <w:rFonts w:hint="eastAsia" w:ascii="宋体" w:hAnsi="宋体" w:cs="宋体"/>
          <w:szCs w:val="21"/>
          <w:highlight w:val="none"/>
        </w:rPr>
        <w:t>所在的</w:t>
      </w:r>
      <w:r>
        <w:rPr>
          <w:rFonts w:hint="eastAsia" w:cs="宋体"/>
          <w:szCs w:val="21"/>
          <w:highlight w:val="none"/>
          <w:lang w:val="en-US" w:eastAsia="zh-CN"/>
        </w:rPr>
        <w:t>模具、塑料制品、塑料加工</w:t>
      </w:r>
      <w:r>
        <w:rPr>
          <w:rFonts w:hint="eastAsia" w:ascii="宋体" w:hAnsi="宋体" w:cs="宋体"/>
          <w:szCs w:val="21"/>
          <w:highlight w:val="none"/>
          <w:lang w:val="en-US" w:eastAsia="zh-CN"/>
        </w:rPr>
        <w:t>类</w:t>
      </w:r>
      <w:r>
        <w:rPr>
          <w:rFonts w:hint="eastAsia" w:ascii="宋体" w:hAnsi="宋体" w:cs="宋体"/>
          <w:szCs w:val="21"/>
          <w:highlight w:val="none"/>
        </w:rPr>
        <w:t>领域，市场潜力巨大，已形成如</w:t>
      </w:r>
      <w:r>
        <w:rPr>
          <w:rFonts w:hint="eastAsia" w:cs="宋体"/>
          <w:szCs w:val="21"/>
          <w:highlight w:val="none"/>
          <w:lang w:val="en-US" w:eastAsia="zh-CN"/>
        </w:rPr>
        <w:t>雷丰</w:t>
      </w:r>
      <w:r>
        <w:rPr>
          <w:rFonts w:hint="eastAsia" w:ascii="宋体" w:hAnsi="宋体" w:cs="宋体"/>
          <w:szCs w:val="21"/>
          <w:highlight w:val="none"/>
        </w:rPr>
        <w:t>品牌形成稳定的认知，同时面临着激烈的市场竞争。为此，</w:t>
      </w:r>
      <w:r>
        <w:rPr>
          <w:rFonts w:hint="eastAsia" w:cs="宋体"/>
          <w:szCs w:val="21"/>
          <w:highlight w:val="none"/>
          <w:lang w:eastAsia="zh-CN"/>
        </w:rPr>
        <w:t>台州雷丰</w:t>
      </w:r>
      <w:r>
        <w:rPr>
          <w:rFonts w:hint="eastAsia" w:ascii="宋体" w:hAnsi="宋体" w:cs="宋体"/>
          <w:szCs w:val="21"/>
          <w:highlight w:val="none"/>
        </w:rPr>
        <w:t>的应对策略就是：专业化与差异化，即：</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rPr>
          <w:rFonts w:hint="eastAsia" w:ascii="宋体" w:hAnsi="宋体" w:cs="宋体"/>
          <w:szCs w:val="21"/>
          <w:highlight w:val="none"/>
        </w:rPr>
      </w:pPr>
      <w:r>
        <w:rPr>
          <w:rFonts w:hint="eastAsia" w:ascii="宋体" w:hAnsi="宋体" w:cs="宋体"/>
          <w:szCs w:val="21"/>
          <w:highlight w:val="none"/>
        </w:rPr>
        <w:t>1)追求产品核心价值的差异化、低成本与高性价比；</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rPr>
          <w:rFonts w:hint="eastAsia" w:ascii="宋体" w:hAnsi="宋体" w:cs="宋体"/>
          <w:szCs w:val="21"/>
          <w:highlight w:val="none"/>
        </w:rPr>
      </w:pPr>
      <w:r>
        <w:rPr>
          <w:rFonts w:hint="eastAsia" w:ascii="宋体" w:hAnsi="宋体" w:cs="宋体"/>
          <w:szCs w:val="21"/>
          <w:highlight w:val="none"/>
        </w:rPr>
        <w:t>2)以专业化品牌对冲行业的多元化大品牌。</w:t>
      </w:r>
    </w:p>
    <w:p>
      <w:pPr>
        <w:pStyle w:val="4"/>
        <w:keepNext w:val="0"/>
        <w:keepLines w:val="0"/>
        <w:pageBreakBefore w:val="0"/>
        <w:kinsoku/>
        <w:wordWrap/>
        <w:overflowPunct/>
        <w:topLinePunct w:val="0"/>
        <w:autoSpaceDE w:val="0"/>
        <w:autoSpaceDN w:val="0"/>
        <w:bidi w:val="0"/>
        <w:spacing w:line="360" w:lineRule="auto"/>
        <w:ind w:left="0" w:right="0" w:firstLine="480" w:firstLineChars="200"/>
        <w:jc w:val="both"/>
        <w:textAlignment w:val="auto"/>
        <w:rPr>
          <w:spacing w:val="-11"/>
        </w:rPr>
      </w:pPr>
      <w:r>
        <w:rPr>
          <w:rFonts w:hint="eastAsia" w:ascii="宋体" w:hAnsi="宋体" w:cs="宋体"/>
          <w:szCs w:val="21"/>
          <w:highlight w:val="none"/>
        </w:rPr>
        <w:t>我们期望未来的</w:t>
      </w:r>
      <w:r>
        <w:rPr>
          <w:rFonts w:hint="eastAsia" w:cs="宋体"/>
          <w:szCs w:val="21"/>
          <w:highlight w:val="none"/>
          <w:lang w:eastAsia="zh-CN"/>
        </w:rPr>
        <w:t>台州雷丰</w:t>
      </w:r>
      <w:r>
        <w:rPr>
          <w:rFonts w:hint="eastAsia" w:ascii="宋体" w:hAnsi="宋体" w:cs="宋体"/>
          <w:szCs w:val="21"/>
          <w:highlight w:val="none"/>
        </w:rPr>
        <w:t>是一个以专业著称的品牌，专注于</w:t>
      </w:r>
      <w:r>
        <w:rPr>
          <w:rFonts w:hint="eastAsia" w:cs="宋体"/>
          <w:sz w:val="24"/>
          <w:highlight w:val="none"/>
          <w:lang w:val="en-US" w:eastAsia="zh-CN"/>
        </w:rPr>
        <w:t>模具、塑料制品、塑料加工</w:t>
      </w:r>
      <w:r>
        <w:rPr>
          <w:rFonts w:hint="eastAsia" w:ascii="宋体" w:hAnsi="宋体" w:cs="宋体"/>
          <w:szCs w:val="21"/>
          <w:highlight w:val="none"/>
          <w:lang w:val="en-US" w:eastAsia="zh-CN"/>
        </w:rPr>
        <w:t>类供应</w:t>
      </w:r>
      <w:r>
        <w:rPr>
          <w:rFonts w:hint="eastAsia" w:ascii="宋体" w:hAnsi="宋体" w:cs="宋体"/>
          <w:szCs w:val="21"/>
          <w:highlight w:val="none"/>
        </w:rPr>
        <w:t>。</w:t>
      </w:r>
      <w:bookmarkStart w:id="20" w:name="_GoBack"/>
      <w:bookmarkEnd w:id="20"/>
    </w:p>
    <w:p>
      <w:pPr>
        <w:pStyle w:val="4"/>
        <w:keepNext w:val="0"/>
        <w:keepLines w:val="0"/>
        <w:pageBreakBefore w:val="0"/>
        <w:kinsoku/>
        <w:wordWrap/>
        <w:overflowPunct/>
        <w:topLinePunct w:val="0"/>
        <w:autoSpaceDE w:val="0"/>
        <w:autoSpaceDN w:val="0"/>
        <w:bidi w:val="0"/>
        <w:spacing w:line="360" w:lineRule="auto"/>
        <w:ind w:left="0" w:right="0" w:firstLine="440" w:firstLineChars="200"/>
        <w:jc w:val="both"/>
        <w:textAlignment w:val="auto"/>
      </w:pPr>
      <w:r>
        <w:rPr>
          <w:spacing w:val="-10"/>
        </w:rPr>
        <w:t>总之，在国家发展规划的引领下、在市政府的大力支持下，通过努力，相信</w:t>
      </w:r>
      <w:r>
        <w:rPr>
          <w:rFonts w:hint="eastAsia"/>
          <w:spacing w:val="-7"/>
          <w:lang w:eastAsia="zh-CN"/>
        </w:rPr>
        <w:t>雷丰</w:t>
      </w:r>
      <w:r>
        <w:rPr>
          <w:spacing w:val="-7"/>
        </w:rPr>
        <w:t>未来三年规划会顺利实现，为</w:t>
      </w:r>
      <w:r>
        <w:rPr>
          <w:rFonts w:hint="eastAsia"/>
          <w:spacing w:val="-7"/>
          <w:lang w:val="en-US" w:eastAsia="zh-CN"/>
        </w:rPr>
        <w:t>台州</w:t>
      </w:r>
      <w:r>
        <w:rPr>
          <w:spacing w:val="-7"/>
        </w:rPr>
        <w:t>经济的繁荣发展献上一己之力！最终</w:t>
      </w:r>
      <w:r>
        <w:t>造福员工、造福社会。</w:t>
      </w:r>
    </w:p>
    <w:sectPr>
      <w:pgSz w:w="11910" w:h="16840"/>
      <w:pgMar w:top="1420" w:right="1440" w:bottom="1380" w:left="1680" w:header="877" w:footer="1197"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10609000101010101"/>
    <w:charset w:val="88"/>
    <w:family w:val="modern"/>
    <w:pitch w:val="default"/>
    <w:sig w:usb0="00000000" w:usb1="00000000" w:usb2="00000016" w:usb3="00000000" w:csb0="0010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ind w:left="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rPr>
        <w:sz w:val="20"/>
        <w:szCs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ge">
                <wp:posOffset>9930765</wp:posOffset>
              </wp:positionV>
              <wp:extent cx="298450" cy="150495"/>
              <wp:effectExtent l="0" t="0" r="0" b="0"/>
              <wp:wrapNone/>
              <wp:docPr id="5" name="文本框 8"/>
              <wp:cNvGraphicFramePr/>
              <a:graphic xmlns:a="http://schemas.openxmlformats.org/drawingml/2006/main">
                <a:graphicData uri="http://schemas.microsoft.com/office/word/2010/wordprocessingShape">
                  <wps:wsp>
                    <wps:cNvSpPr txBox="1"/>
                    <wps:spPr>
                      <a:xfrm>
                        <a:off x="0" y="0"/>
                        <a:ext cx="298450" cy="150495"/>
                      </a:xfrm>
                      <a:prstGeom prst="rect">
                        <a:avLst/>
                      </a:prstGeom>
                      <a:noFill/>
                      <a:ln>
                        <a:noFill/>
                      </a:ln>
                    </wps:spPr>
                    <wps:txbx>
                      <w:txbxContent>
                        <w:p>
                          <w:pPr>
                            <w:spacing w:line="204" w:lineRule="exact"/>
                            <w:ind w:left="4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PAGE </w:instrText>
                          </w:r>
                          <w:r>
                            <w:rPr>
                              <w:rFonts w:ascii="Times New Roman" w:hAnsi="Times New Roman"/>
                              <w:sz w:val="18"/>
                              <w:szCs w:val="18"/>
                            </w:rPr>
                            <w:fldChar w:fldCharType="separate"/>
                          </w:r>
                          <w:r>
                            <w:rPr>
                              <w:rFonts w:ascii="Times New Roman" w:hAnsi="Times New Roman"/>
                              <w:sz w:val="18"/>
                              <w:szCs w:val="18"/>
                            </w:rPr>
                            <w:t>3</w:t>
                          </w:r>
                          <w:r>
                            <w:rPr>
                              <w:rFonts w:ascii="Times New Roman" w:hAnsi="Times New Roman"/>
                              <w:sz w:val="18"/>
                              <w:szCs w:val="18"/>
                            </w:rPr>
                            <w:fldChar w:fldCharType="end"/>
                          </w:r>
                        </w:p>
                      </w:txbxContent>
                    </wps:txbx>
                    <wps:bodyPr lIns="0" tIns="0" rIns="0" bIns="0" upright="1"/>
                  </wps:wsp>
                </a:graphicData>
              </a:graphic>
            </wp:anchor>
          </w:drawing>
        </mc:Choice>
        <mc:Fallback>
          <w:pict>
            <v:shape id="文本框 8" o:spid="_x0000_s1026" o:spt="202" type="#_x0000_t202" style="position:absolute;left:0pt;margin-top:781.95pt;height:11.85pt;width:23.5pt;mso-position-horizontal:center;mso-position-horizontal-relative:margin;mso-position-vertical-relative:page;z-index:251660288;mso-width-relative:page;mso-height-relative:page;" filled="f" stroked="f" coordsize="21600,21600" o:gfxdata="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9wUEJ1wAAAAkBAAAPAAAAAAAAAAEAIAAAACIAAABkcnMvZG93bnJldi54bWxQSwECFAAU&#10;AAAACACHTuJAPPgPN7kBAABxAwAADgAAAAAAAAABACAAAAAmAQAAZHJzL2Uyb0RvYy54bWxQSwUG&#10;AAAAAAYABgBZAQAAUQUAAAAA&#10;">
              <v:fill on="f" focussize="0,0"/>
              <v:stroke on="f"/>
              <v:imagedata o:title=""/>
              <o:lock v:ext="edit" aspectratio="f"/>
              <v:textbox inset="0mm,0mm,0mm,0mm">
                <w:txbxContent>
                  <w:p>
                    <w:pPr>
                      <w:spacing w:line="204" w:lineRule="exact"/>
                      <w:ind w:left="4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PAGE </w:instrText>
                    </w:r>
                    <w:r>
                      <w:rPr>
                        <w:rFonts w:ascii="Times New Roman" w:hAnsi="Times New Roman"/>
                        <w:sz w:val="18"/>
                        <w:szCs w:val="18"/>
                      </w:rPr>
                      <w:fldChar w:fldCharType="separate"/>
                    </w:r>
                    <w:r>
                      <w:rPr>
                        <w:rFonts w:ascii="Times New Roman" w:hAnsi="Times New Roman"/>
                        <w:sz w:val="18"/>
                        <w:szCs w:val="18"/>
                      </w:rPr>
                      <w:t>3</w:t>
                    </w:r>
                    <w:r>
                      <w:rPr>
                        <w:rFonts w:ascii="Times New Roman" w:hAnsi="Times New Roman"/>
                        <w:sz w:val="18"/>
                        <w:szCs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00" w:beforeAutospacing="1" w:after="100" w:afterAutospacing="1"/>
      <w:ind w:right="198"/>
      <w:jc w:val="right"/>
      <w:rPr>
        <w:sz w:val="20"/>
        <w:szCs w:val="20"/>
      </w:rPr>
    </w:pPr>
    <w:r>
      <w:rPr>
        <w:sz w:val="20"/>
        <w:szCs w:val="20"/>
      </w:rPr>
      <mc:AlternateContent>
        <mc:Choice Requires="wpg">
          <w:drawing>
            <wp:anchor distT="0" distB="0" distL="114300" distR="114300" simplePos="0" relativeHeight="251659264" behindDoc="1" locked="0" layoutInCell="1" allowOverlap="1">
              <wp:simplePos x="0" y="0"/>
              <wp:positionH relativeFrom="page">
                <wp:posOffset>899160</wp:posOffset>
              </wp:positionH>
              <wp:positionV relativeFrom="paragraph">
                <wp:posOffset>271145</wp:posOffset>
              </wp:positionV>
              <wp:extent cx="5888355" cy="1270"/>
              <wp:effectExtent l="0" t="0" r="0" b="0"/>
              <wp:wrapNone/>
              <wp:docPr id="4" name="组合 5"/>
              <wp:cNvGraphicFramePr/>
              <a:graphic xmlns:a="http://schemas.openxmlformats.org/drawingml/2006/main">
                <a:graphicData uri="http://schemas.microsoft.com/office/word/2010/wordprocessingGroup">
                  <wpg:wgp>
                    <wpg:cNvGrpSpPr/>
                    <wpg:grpSpPr>
                      <a:xfrm>
                        <a:off x="0" y="0"/>
                        <a:ext cx="5888355" cy="1270"/>
                        <a:chOff x="1416" y="-308"/>
                        <a:chExt cx="9273" cy="2203"/>
                      </a:xfrm>
                    </wpg:grpSpPr>
                    <wps:wsp>
                      <wps:cNvPr id="3" name="任意多边形 6"/>
                      <wps:cNvSpPr/>
                      <wps:spPr>
                        <a:xfrm>
                          <a:off x="1416" y="-308"/>
                          <a:ext cx="9273" cy="2"/>
                        </a:xfrm>
                        <a:custGeom>
                          <a:avLst/>
                          <a:gdLst/>
                          <a:ahLst/>
                          <a:cxnLst/>
                          <a:pathLst>
                            <a:path w="9273">
                              <a:moveTo>
                                <a:pt x="0" y="0"/>
                              </a:moveTo>
                              <a:lnTo>
                                <a:pt x="9273" y="0"/>
                              </a:lnTo>
                            </a:path>
                          </a:pathLst>
                        </a:custGeom>
                        <a:noFill/>
                        <a:ln w="7366" cap="flat" cmpd="sng">
                          <a:solidFill>
                            <a:srgbClr val="000000"/>
                          </a:solidFill>
                          <a:prstDash val="solid"/>
                          <a:headEnd type="none" w="med" len="med"/>
                          <a:tailEnd type="none" w="med" len="med"/>
                        </a:ln>
                      </wps:spPr>
                      <wps:bodyPr upright="1"/>
                    </wps:wsp>
                  </wpg:wgp>
                </a:graphicData>
              </a:graphic>
            </wp:anchor>
          </w:drawing>
        </mc:Choice>
        <mc:Fallback>
          <w:pict>
            <v:group id="组合 5" o:spid="_x0000_s1026" o:spt="203" style="position:absolute;left:0pt;margin-left:70.8pt;margin-top:21.35pt;height:0.1pt;width:463.65pt;mso-position-horizontal-relative:page;z-index:-251657216;mso-width-relative:page;mso-height-relative:page;" coordorigin="1416,-308" coordsize="9273,2203" o:gfxdata="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kclGt9kAAAAKAQAADwAAAAAAAAABACAAAAAiAAAAZHJzL2Rvd25yZXYueG1sUEsBAhQAFAAAAAgA&#10;h07iQOateG2WAgAAswUAAA4AAAAAAAAAAQAgAAAAKAEAAGRycy9lMm9Eb2MueG1sUEsFBgAAAAAG&#10;AAYAWQEAADAGAAAAAA==&#10;">
              <o:lock v:ext="edit" aspectratio="f"/>
              <v:shape id="任意多边形 6" o:spid="_x0000_s1026" o:spt="100" style="position:absolute;left:1416;top:-308;height:2;width:9273;" filled="f" stroked="t" coordsize="9273,1" o:gfxdata="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IkZXvQAA&#10;ANoAAAAPAAAAAAAAAAEAIAAAACIAAABkcnMvZG93bnJldi54bWxQSwECFAAUAAAACACHTuJAMy8F&#10;njsAAAA5AAAAEAAAAAAAAAABACAAAAAMAQAAZHJzL3NoYXBleG1sLnhtbFBLBQYAAAAABgAGAFsB&#10;AAC2AwAAAAA=&#10;" path="m0,0l9273,0e">
                <v:fill on="f" focussize="0,0"/>
                <v:stroke weight="0.58pt" color="#000000" joinstyle="round"/>
                <v:imagedata o:title=""/>
                <o:lock v:ext="edit" aspectratio="f"/>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600" w:hanging="480"/>
      </w:pPr>
      <w:rPr>
        <w:rFonts w:hint="default"/>
        <w:lang w:val="zh-CN" w:eastAsia="zh-CN" w:bidi="zh-CN"/>
      </w:rPr>
    </w:lvl>
    <w:lvl w:ilvl="1" w:tentative="0">
      <w:start w:val="1"/>
      <w:numFmt w:val="decimal"/>
      <w:lvlText w:val="%1.%2"/>
      <w:lvlJc w:val="left"/>
      <w:pPr>
        <w:ind w:left="600" w:hanging="480"/>
      </w:pPr>
      <w:rPr>
        <w:rFonts w:hint="default" w:ascii="宋体" w:hAnsi="宋体" w:eastAsia="宋体" w:cs="宋体"/>
        <w:w w:val="100"/>
        <w:sz w:val="24"/>
        <w:szCs w:val="24"/>
        <w:lang w:val="zh-CN" w:eastAsia="zh-CN" w:bidi="zh-CN"/>
      </w:rPr>
    </w:lvl>
    <w:lvl w:ilvl="2" w:tentative="0">
      <w:start w:val="0"/>
      <w:numFmt w:val="bullet"/>
      <w:lvlText w:val="•"/>
      <w:lvlJc w:val="left"/>
      <w:pPr>
        <w:ind w:left="2237" w:hanging="480"/>
      </w:pPr>
      <w:rPr>
        <w:rFonts w:hint="default"/>
        <w:lang w:val="zh-CN" w:eastAsia="zh-CN" w:bidi="zh-CN"/>
      </w:rPr>
    </w:lvl>
    <w:lvl w:ilvl="3" w:tentative="0">
      <w:start w:val="0"/>
      <w:numFmt w:val="bullet"/>
      <w:lvlText w:val="•"/>
      <w:lvlJc w:val="left"/>
      <w:pPr>
        <w:ind w:left="3055" w:hanging="480"/>
      </w:pPr>
      <w:rPr>
        <w:rFonts w:hint="default"/>
        <w:lang w:val="zh-CN" w:eastAsia="zh-CN" w:bidi="zh-CN"/>
      </w:rPr>
    </w:lvl>
    <w:lvl w:ilvl="4" w:tentative="0">
      <w:start w:val="0"/>
      <w:numFmt w:val="bullet"/>
      <w:lvlText w:val="•"/>
      <w:lvlJc w:val="left"/>
      <w:pPr>
        <w:ind w:left="3874" w:hanging="480"/>
      </w:pPr>
      <w:rPr>
        <w:rFonts w:hint="default"/>
        <w:lang w:val="zh-CN" w:eastAsia="zh-CN" w:bidi="zh-CN"/>
      </w:rPr>
    </w:lvl>
    <w:lvl w:ilvl="5" w:tentative="0">
      <w:start w:val="0"/>
      <w:numFmt w:val="bullet"/>
      <w:lvlText w:val="•"/>
      <w:lvlJc w:val="left"/>
      <w:pPr>
        <w:ind w:left="4693" w:hanging="480"/>
      </w:pPr>
      <w:rPr>
        <w:rFonts w:hint="default"/>
        <w:lang w:val="zh-CN" w:eastAsia="zh-CN" w:bidi="zh-CN"/>
      </w:rPr>
    </w:lvl>
    <w:lvl w:ilvl="6" w:tentative="0">
      <w:start w:val="0"/>
      <w:numFmt w:val="bullet"/>
      <w:lvlText w:val="•"/>
      <w:lvlJc w:val="left"/>
      <w:pPr>
        <w:ind w:left="5511" w:hanging="480"/>
      </w:pPr>
      <w:rPr>
        <w:rFonts w:hint="default"/>
        <w:lang w:val="zh-CN" w:eastAsia="zh-CN" w:bidi="zh-CN"/>
      </w:rPr>
    </w:lvl>
    <w:lvl w:ilvl="7" w:tentative="0">
      <w:start w:val="0"/>
      <w:numFmt w:val="bullet"/>
      <w:lvlText w:val="•"/>
      <w:lvlJc w:val="left"/>
      <w:pPr>
        <w:ind w:left="6330" w:hanging="480"/>
      </w:pPr>
      <w:rPr>
        <w:rFonts w:hint="default"/>
        <w:lang w:val="zh-CN" w:eastAsia="zh-CN" w:bidi="zh-CN"/>
      </w:rPr>
    </w:lvl>
    <w:lvl w:ilvl="8" w:tentative="0">
      <w:start w:val="0"/>
      <w:numFmt w:val="bullet"/>
      <w:lvlText w:val="•"/>
      <w:lvlJc w:val="left"/>
      <w:pPr>
        <w:ind w:left="7149" w:hanging="480"/>
      </w:pPr>
      <w:rPr>
        <w:rFonts w:hint="default"/>
        <w:lang w:val="zh-CN" w:eastAsia="zh-CN" w:bidi="zh-CN"/>
      </w:rPr>
    </w:lvl>
  </w:abstractNum>
  <w:abstractNum w:abstractNumId="1">
    <w:nsid w:val="0053208E"/>
    <w:multiLevelType w:val="multilevel"/>
    <w:tmpl w:val="0053208E"/>
    <w:lvl w:ilvl="0" w:tentative="0">
      <w:start w:val="1"/>
      <w:numFmt w:val="decimal"/>
      <w:lvlText w:val="%1."/>
      <w:lvlJc w:val="left"/>
      <w:pPr>
        <w:ind w:left="480" w:hanging="360"/>
      </w:pPr>
      <w:rPr>
        <w:rFonts w:hint="default" w:ascii="宋体" w:hAnsi="宋体" w:eastAsia="宋体" w:cs="宋体"/>
        <w:w w:val="100"/>
        <w:sz w:val="24"/>
        <w:szCs w:val="24"/>
        <w:lang w:val="zh-CN" w:eastAsia="zh-CN" w:bidi="zh-CN"/>
      </w:rPr>
    </w:lvl>
    <w:lvl w:ilvl="1" w:tentative="0">
      <w:start w:val="0"/>
      <w:numFmt w:val="bullet"/>
      <w:lvlText w:val="•"/>
      <w:lvlJc w:val="left"/>
      <w:pPr>
        <w:ind w:left="1310" w:hanging="360"/>
      </w:pPr>
      <w:rPr>
        <w:rFonts w:hint="default"/>
        <w:lang w:val="zh-CN" w:eastAsia="zh-CN" w:bidi="zh-CN"/>
      </w:rPr>
    </w:lvl>
    <w:lvl w:ilvl="2" w:tentative="0">
      <w:start w:val="0"/>
      <w:numFmt w:val="bullet"/>
      <w:lvlText w:val="•"/>
      <w:lvlJc w:val="left"/>
      <w:pPr>
        <w:ind w:left="2141" w:hanging="360"/>
      </w:pPr>
      <w:rPr>
        <w:rFonts w:hint="default"/>
        <w:lang w:val="zh-CN" w:eastAsia="zh-CN" w:bidi="zh-CN"/>
      </w:rPr>
    </w:lvl>
    <w:lvl w:ilvl="3" w:tentative="0">
      <w:start w:val="0"/>
      <w:numFmt w:val="bullet"/>
      <w:lvlText w:val="•"/>
      <w:lvlJc w:val="left"/>
      <w:pPr>
        <w:ind w:left="2971" w:hanging="360"/>
      </w:pPr>
      <w:rPr>
        <w:rFonts w:hint="default"/>
        <w:lang w:val="zh-CN" w:eastAsia="zh-CN" w:bidi="zh-CN"/>
      </w:rPr>
    </w:lvl>
    <w:lvl w:ilvl="4" w:tentative="0">
      <w:start w:val="0"/>
      <w:numFmt w:val="bullet"/>
      <w:lvlText w:val="•"/>
      <w:lvlJc w:val="left"/>
      <w:pPr>
        <w:ind w:left="3802" w:hanging="360"/>
      </w:pPr>
      <w:rPr>
        <w:rFonts w:hint="default"/>
        <w:lang w:val="zh-CN" w:eastAsia="zh-CN" w:bidi="zh-CN"/>
      </w:rPr>
    </w:lvl>
    <w:lvl w:ilvl="5" w:tentative="0">
      <w:start w:val="0"/>
      <w:numFmt w:val="bullet"/>
      <w:lvlText w:val="•"/>
      <w:lvlJc w:val="left"/>
      <w:pPr>
        <w:ind w:left="4633" w:hanging="360"/>
      </w:pPr>
      <w:rPr>
        <w:rFonts w:hint="default"/>
        <w:lang w:val="zh-CN" w:eastAsia="zh-CN" w:bidi="zh-CN"/>
      </w:rPr>
    </w:lvl>
    <w:lvl w:ilvl="6" w:tentative="0">
      <w:start w:val="0"/>
      <w:numFmt w:val="bullet"/>
      <w:lvlText w:val="•"/>
      <w:lvlJc w:val="left"/>
      <w:pPr>
        <w:ind w:left="5463" w:hanging="360"/>
      </w:pPr>
      <w:rPr>
        <w:rFonts w:hint="default"/>
        <w:lang w:val="zh-CN" w:eastAsia="zh-CN" w:bidi="zh-CN"/>
      </w:rPr>
    </w:lvl>
    <w:lvl w:ilvl="7" w:tentative="0">
      <w:start w:val="0"/>
      <w:numFmt w:val="bullet"/>
      <w:lvlText w:val="•"/>
      <w:lvlJc w:val="left"/>
      <w:pPr>
        <w:ind w:left="6294" w:hanging="360"/>
      </w:pPr>
      <w:rPr>
        <w:rFonts w:hint="default"/>
        <w:lang w:val="zh-CN" w:eastAsia="zh-CN" w:bidi="zh-CN"/>
      </w:rPr>
    </w:lvl>
    <w:lvl w:ilvl="8" w:tentative="0">
      <w:start w:val="0"/>
      <w:numFmt w:val="bullet"/>
      <w:lvlText w:val="•"/>
      <w:lvlJc w:val="left"/>
      <w:pPr>
        <w:ind w:left="7125" w:hanging="360"/>
      </w:pPr>
      <w:rPr>
        <w:rFonts w:hint="default"/>
        <w:lang w:val="zh-CN" w:eastAsia="zh-CN" w:bidi="zh-CN"/>
      </w:rPr>
    </w:lvl>
  </w:abstractNum>
  <w:abstractNum w:abstractNumId="2">
    <w:nsid w:val="21DCA710"/>
    <w:multiLevelType w:val="singleLevel"/>
    <w:tmpl w:val="21DCA710"/>
    <w:lvl w:ilvl="0" w:tentative="0">
      <w:start w:val="3"/>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hNGJiMWVmZTg4ZjFhYWZhYWFiMzBkODkwYWRkZmUifQ=="/>
  </w:docVars>
  <w:rsids>
    <w:rsidRoot w:val="00290920"/>
    <w:rsid w:val="000278DC"/>
    <w:rsid w:val="00032473"/>
    <w:rsid w:val="000414FB"/>
    <w:rsid w:val="000579A5"/>
    <w:rsid w:val="00063023"/>
    <w:rsid w:val="00066EC5"/>
    <w:rsid w:val="001175B4"/>
    <w:rsid w:val="0017610F"/>
    <w:rsid w:val="001C1FC1"/>
    <w:rsid w:val="001E006E"/>
    <w:rsid w:val="001E1AAD"/>
    <w:rsid w:val="00244132"/>
    <w:rsid w:val="0026017D"/>
    <w:rsid w:val="00263C88"/>
    <w:rsid w:val="002704DC"/>
    <w:rsid w:val="002903F9"/>
    <w:rsid w:val="00290920"/>
    <w:rsid w:val="002E4DCC"/>
    <w:rsid w:val="0030225B"/>
    <w:rsid w:val="0033239A"/>
    <w:rsid w:val="00333CDD"/>
    <w:rsid w:val="0036038A"/>
    <w:rsid w:val="00376968"/>
    <w:rsid w:val="0037720E"/>
    <w:rsid w:val="003A0DB5"/>
    <w:rsid w:val="003D04CD"/>
    <w:rsid w:val="003F6CFA"/>
    <w:rsid w:val="0040402E"/>
    <w:rsid w:val="00405E2E"/>
    <w:rsid w:val="00436F89"/>
    <w:rsid w:val="00440CA5"/>
    <w:rsid w:val="00467DCB"/>
    <w:rsid w:val="004900E6"/>
    <w:rsid w:val="004A161E"/>
    <w:rsid w:val="004D63C4"/>
    <w:rsid w:val="004F1C97"/>
    <w:rsid w:val="004F1D71"/>
    <w:rsid w:val="005046FD"/>
    <w:rsid w:val="005B134C"/>
    <w:rsid w:val="005C44A5"/>
    <w:rsid w:val="005E0325"/>
    <w:rsid w:val="006511E0"/>
    <w:rsid w:val="00687D11"/>
    <w:rsid w:val="006C39B4"/>
    <w:rsid w:val="006C4684"/>
    <w:rsid w:val="006E5587"/>
    <w:rsid w:val="007103E9"/>
    <w:rsid w:val="00724FE4"/>
    <w:rsid w:val="00766F3F"/>
    <w:rsid w:val="00774550"/>
    <w:rsid w:val="007816F0"/>
    <w:rsid w:val="007B7DB6"/>
    <w:rsid w:val="007C6B63"/>
    <w:rsid w:val="007E5EB5"/>
    <w:rsid w:val="00825F7C"/>
    <w:rsid w:val="00866AFB"/>
    <w:rsid w:val="008904FE"/>
    <w:rsid w:val="008C6E32"/>
    <w:rsid w:val="008F71D5"/>
    <w:rsid w:val="009033D2"/>
    <w:rsid w:val="009364BF"/>
    <w:rsid w:val="009369F8"/>
    <w:rsid w:val="0094624B"/>
    <w:rsid w:val="00963BF3"/>
    <w:rsid w:val="009A0267"/>
    <w:rsid w:val="009C1E21"/>
    <w:rsid w:val="009C7DA2"/>
    <w:rsid w:val="009F692A"/>
    <w:rsid w:val="00A46435"/>
    <w:rsid w:val="00AB12C6"/>
    <w:rsid w:val="00AD3415"/>
    <w:rsid w:val="00B04DFD"/>
    <w:rsid w:val="00B10FBE"/>
    <w:rsid w:val="00B40D99"/>
    <w:rsid w:val="00B50488"/>
    <w:rsid w:val="00B82100"/>
    <w:rsid w:val="00BD1A31"/>
    <w:rsid w:val="00BE263E"/>
    <w:rsid w:val="00C53042"/>
    <w:rsid w:val="00C7250B"/>
    <w:rsid w:val="00CB539F"/>
    <w:rsid w:val="00CF08BE"/>
    <w:rsid w:val="00D10E9E"/>
    <w:rsid w:val="00D15940"/>
    <w:rsid w:val="00D26976"/>
    <w:rsid w:val="00D43431"/>
    <w:rsid w:val="00D43AC4"/>
    <w:rsid w:val="00D96750"/>
    <w:rsid w:val="00DF7453"/>
    <w:rsid w:val="00E17C27"/>
    <w:rsid w:val="00E20AA2"/>
    <w:rsid w:val="00E228B5"/>
    <w:rsid w:val="00E93DD6"/>
    <w:rsid w:val="00EC0C64"/>
    <w:rsid w:val="00EE28D9"/>
    <w:rsid w:val="00EE57D0"/>
    <w:rsid w:val="00F051A3"/>
    <w:rsid w:val="00F92607"/>
    <w:rsid w:val="00FA73EE"/>
    <w:rsid w:val="00FB1115"/>
    <w:rsid w:val="00FB3464"/>
    <w:rsid w:val="00FB62EB"/>
    <w:rsid w:val="01EB606E"/>
    <w:rsid w:val="038A7DBD"/>
    <w:rsid w:val="07A61E1B"/>
    <w:rsid w:val="0C130028"/>
    <w:rsid w:val="0E8F60D6"/>
    <w:rsid w:val="0F93018A"/>
    <w:rsid w:val="0FE35D42"/>
    <w:rsid w:val="15A873B1"/>
    <w:rsid w:val="16D10314"/>
    <w:rsid w:val="184C4E67"/>
    <w:rsid w:val="193366D3"/>
    <w:rsid w:val="1BC56881"/>
    <w:rsid w:val="20A95695"/>
    <w:rsid w:val="2A8F5314"/>
    <w:rsid w:val="2AD31C13"/>
    <w:rsid w:val="2CC4342F"/>
    <w:rsid w:val="2FF5681A"/>
    <w:rsid w:val="3548797A"/>
    <w:rsid w:val="3C9464F7"/>
    <w:rsid w:val="445910F7"/>
    <w:rsid w:val="4579649E"/>
    <w:rsid w:val="4A1572C5"/>
    <w:rsid w:val="4A2D3B78"/>
    <w:rsid w:val="4A3C643D"/>
    <w:rsid w:val="4E79317F"/>
    <w:rsid w:val="4F510191"/>
    <w:rsid w:val="503C50C7"/>
    <w:rsid w:val="50C35B1C"/>
    <w:rsid w:val="55B10B61"/>
    <w:rsid w:val="567D3FBF"/>
    <w:rsid w:val="571560F4"/>
    <w:rsid w:val="594C43FA"/>
    <w:rsid w:val="5A6A1A6C"/>
    <w:rsid w:val="5AC30CBD"/>
    <w:rsid w:val="5F186733"/>
    <w:rsid w:val="5F1C41B0"/>
    <w:rsid w:val="5F56678A"/>
    <w:rsid w:val="5F775121"/>
    <w:rsid w:val="615B1E4B"/>
    <w:rsid w:val="62E97EC7"/>
    <w:rsid w:val="63CE1FD7"/>
    <w:rsid w:val="64332663"/>
    <w:rsid w:val="659916BA"/>
    <w:rsid w:val="65BD276E"/>
    <w:rsid w:val="676B4959"/>
    <w:rsid w:val="67E61C3B"/>
    <w:rsid w:val="695104C1"/>
    <w:rsid w:val="6B7E7A5D"/>
    <w:rsid w:val="6C214F2E"/>
    <w:rsid w:val="6C2D5436"/>
    <w:rsid w:val="6EF2679D"/>
    <w:rsid w:val="71A95A66"/>
    <w:rsid w:val="730E375A"/>
    <w:rsid w:val="75135156"/>
    <w:rsid w:val="755B7ABB"/>
    <w:rsid w:val="757423F0"/>
    <w:rsid w:val="767B3CA4"/>
    <w:rsid w:val="7CAF49AE"/>
    <w:rsid w:val="7EF15B1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ind w:left="120"/>
      <w:outlineLvl w:val="0"/>
    </w:pPr>
    <w:rPr>
      <w:sz w:val="28"/>
      <w:szCs w:val="28"/>
    </w:rPr>
  </w:style>
  <w:style w:type="paragraph" w:styleId="3">
    <w:name w:val="heading 2"/>
    <w:basedOn w:val="1"/>
    <w:next w:val="1"/>
    <w:qFormat/>
    <w:uiPriority w:val="1"/>
    <w:pPr>
      <w:ind w:right="240"/>
      <w:jc w:val="center"/>
      <w:outlineLvl w:val="1"/>
    </w:pPr>
    <w:rPr>
      <w:b/>
      <w:bCs/>
      <w:sz w:val="24"/>
      <w:szCs w:val="2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pPr>
      <w:ind w:left="120"/>
    </w:pPr>
    <w:rPr>
      <w:sz w:val="24"/>
      <w:szCs w:val="24"/>
    </w:rPr>
  </w:style>
  <w:style w:type="paragraph" w:styleId="5">
    <w:name w:val="Body Text Indent"/>
    <w:basedOn w:val="1"/>
    <w:qFormat/>
    <w:uiPriority w:val="0"/>
    <w:pPr>
      <w:autoSpaceDE w:val="0"/>
      <w:autoSpaceDN w:val="0"/>
      <w:adjustRightInd w:val="0"/>
      <w:spacing w:line="504" w:lineRule="exact"/>
      <w:ind w:firstLine="480"/>
    </w:pPr>
    <w:rPr>
      <w:kern w:val="0"/>
      <w:sz w:val="24"/>
    </w:rPr>
  </w:style>
  <w:style w:type="paragraph" w:styleId="6">
    <w:name w:val="Balloon Text"/>
    <w:basedOn w:val="1"/>
    <w:link w:val="21"/>
    <w:qFormat/>
    <w:uiPriority w:val="0"/>
    <w:rPr>
      <w:sz w:val="18"/>
      <w:szCs w:val="18"/>
    </w:rPr>
  </w:style>
  <w:style w:type="paragraph" w:styleId="7">
    <w:name w:val="footer"/>
    <w:basedOn w:val="1"/>
    <w:link w:val="19"/>
    <w:qFormat/>
    <w:uiPriority w:val="0"/>
    <w:pPr>
      <w:tabs>
        <w:tab w:val="center" w:pos="4153"/>
        <w:tab w:val="right" w:pos="8306"/>
      </w:tabs>
      <w:snapToGrid w:val="0"/>
    </w:pPr>
    <w:rPr>
      <w:sz w:val="18"/>
      <w:szCs w:val="18"/>
    </w:rPr>
  </w:style>
  <w:style w:type="paragraph" w:styleId="8">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pPr>
      <w:spacing w:before="316"/>
      <w:ind w:right="238"/>
      <w:jc w:val="center"/>
    </w:pPr>
    <w:rPr>
      <w:sz w:val="24"/>
      <w:szCs w:val="24"/>
    </w:rPr>
  </w:style>
  <w:style w:type="character" w:styleId="12">
    <w:name w:val="Hyperlink"/>
    <w:basedOn w:val="11"/>
    <w:unhideWhenUsed/>
    <w:qFormat/>
    <w:uiPriority w:val="99"/>
    <w:rPr>
      <w:color w:val="0000FF" w:themeColor="hyperlink"/>
      <w:u w:val="single"/>
      <w14:textFill>
        <w14:solidFill>
          <w14:schemeClr w14:val="hlink"/>
        </w14:solidFill>
      </w14:textFill>
    </w:rPr>
  </w:style>
  <w:style w:type="paragraph" w:customStyle="1" w:styleId="13">
    <w:name w:val="表格文字"/>
    <w:qFormat/>
    <w:uiPriority w:val="0"/>
    <w:pPr>
      <w:widowControl w:val="0"/>
      <w:autoSpaceDE w:val="0"/>
      <w:autoSpaceDN w:val="0"/>
      <w:adjustRightInd w:val="0"/>
    </w:pPr>
    <w:rPr>
      <w:rFonts w:hint="eastAsia" w:ascii="MingLiU" w:hAnsi="Calibri" w:eastAsia="MingLiU" w:cs="Times New Roman"/>
      <w:color w:val="000000"/>
      <w:sz w:val="24"/>
      <w:lang w:val="en-US" w:eastAsia="zh-TW" w:bidi="ar-SA"/>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spacing w:before="4"/>
      <w:ind w:left="540" w:hanging="420"/>
    </w:pPr>
  </w:style>
  <w:style w:type="paragraph" w:customStyle="1" w:styleId="16">
    <w:name w:val="Table Paragraph"/>
    <w:basedOn w:val="1"/>
    <w:qFormat/>
    <w:uiPriority w:val="1"/>
    <w:pPr>
      <w:spacing w:before="156"/>
      <w:ind w:left="112"/>
    </w:pPr>
  </w:style>
  <w:style w:type="paragraph" w:customStyle="1" w:styleId="17">
    <w:name w:val="WPSOffice手动目录 1"/>
    <w:qFormat/>
    <w:uiPriority w:val="0"/>
    <w:rPr>
      <w:rFonts w:ascii="Times New Roman" w:hAnsi="Times New Roman" w:eastAsia="宋体" w:cs="Times New Roman"/>
      <w:lang w:val="en-US" w:eastAsia="zh-CN" w:bidi="ar-SA"/>
    </w:rPr>
  </w:style>
  <w:style w:type="character" w:customStyle="1" w:styleId="18">
    <w:name w:val="页眉 Char"/>
    <w:basedOn w:val="11"/>
    <w:link w:val="8"/>
    <w:qFormat/>
    <w:uiPriority w:val="0"/>
    <w:rPr>
      <w:rFonts w:ascii="宋体" w:hAnsi="宋体" w:cs="宋体"/>
      <w:sz w:val="18"/>
      <w:szCs w:val="18"/>
      <w:lang w:val="zh-CN" w:bidi="zh-CN"/>
    </w:rPr>
  </w:style>
  <w:style w:type="character" w:customStyle="1" w:styleId="19">
    <w:name w:val="页脚 Char"/>
    <w:basedOn w:val="11"/>
    <w:link w:val="7"/>
    <w:qFormat/>
    <w:uiPriority w:val="0"/>
    <w:rPr>
      <w:rFonts w:ascii="宋体" w:hAnsi="宋体" w:cs="宋体"/>
      <w:sz w:val="18"/>
      <w:szCs w:val="18"/>
      <w:lang w:val="zh-CN" w:bidi="zh-CN"/>
    </w:rPr>
  </w:style>
  <w:style w:type="paragraph" w:customStyle="1" w:styleId="20">
    <w:name w:val="TOC 标题1"/>
    <w:basedOn w:val="2"/>
    <w:next w:val="1"/>
    <w:unhideWhenUsed/>
    <w:qFormat/>
    <w:uiPriority w:val="39"/>
    <w:pPr>
      <w:keepNext/>
      <w:keepLines/>
      <w:widowControl/>
      <w:autoSpaceDE/>
      <w:autoSpaceDN/>
      <w:spacing w:before="240" w:line="259" w:lineRule="auto"/>
      <w:ind w:left="0"/>
      <w:outlineLvl w:val="9"/>
    </w:pPr>
    <w:rPr>
      <w:rFonts w:asciiTheme="majorHAnsi" w:hAnsiTheme="majorHAnsi" w:eastAsiaTheme="majorEastAsia" w:cstheme="majorBidi"/>
      <w:color w:val="376092" w:themeColor="accent1" w:themeShade="BF"/>
      <w:sz w:val="32"/>
      <w:szCs w:val="32"/>
      <w:lang w:val="en-US" w:bidi="ar-SA"/>
    </w:rPr>
  </w:style>
  <w:style w:type="character" w:customStyle="1" w:styleId="21">
    <w:name w:val="批注框文本 Char"/>
    <w:basedOn w:val="11"/>
    <w:link w:val="6"/>
    <w:qFormat/>
    <w:uiPriority w:val="0"/>
    <w:rPr>
      <w:rFonts w:ascii="宋体" w:hAnsi="宋体" w:cs="宋体"/>
      <w:sz w:val="18"/>
      <w:szCs w:val="18"/>
      <w:lang w:val="zh-CN" w:bidi="zh-CN"/>
    </w:rPr>
  </w:style>
  <w:style w:type="paragraph" w:customStyle="1" w:styleId="22">
    <w:name w:val="Heading 11"/>
    <w:basedOn w:val="1"/>
    <w:qFormat/>
    <w:uiPriority w:val="99"/>
    <w:pPr>
      <w:outlineLvl w:val="1"/>
    </w:pPr>
    <w:rPr>
      <w:rFonts w:ascii="黑体" w:hAnsi="黑体" w:eastAsia="黑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687B06-5AC9-42A6-B47C-1C455AC4FB8B}">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24</Pages>
  <Words>2446</Words>
  <Characters>13944</Characters>
  <Lines>116</Lines>
  <Paragraphs>32</Paragraphs>
  <TotalTime>4</TotalTime>
  <ScaleCrop>false</ScaleCrop>
  <LinksUpToDate>false</LinksUpToDate>
  <CharactersWithSpaces>16358</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2019-06-04T02:04:00Z</dcterms:created>
  <dc:creator>尚丹</dc:creator>
  <cp:lastModifiedBy>尘落碧云</cp:lastModifiedBy>
  <cp:lastPrinted>2020-04-14T05:34:00Z</cp:lastPrinted>
  <dcterms:modified xsi:type="dcterms:W3CDTF">2023-10-30T01:01:07Z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2018-08-30T00:00:00Z</vt:filetime>
  </property>
  <property fmtid="{D5CDD505-2E9C-101B-9397-08002B2CF9AE}" pid="3" name="Creator">
    <vt:lpwstr>Acrobat PDFMaker 15 Word 版</vt:lpwstr>
  </property>
  <property fmtid="{D5CDD505-2E9C-101B-9397-08002B2CF9AE}" pid="4" name="LastSaved">
    <vt:filetime>2019-06-04T00:00:00Z</vt:filetime>
  </property>
  <property fmtid="{D5CDD505-2E9C-101B-9397-08002B2CF9AE}" pid="5" name="KSOProductBuildVer">
    <vt:lpwstr>2052-12.1.0.15374</vt:lpwstr>
  </property>
  <property fmtid="{D5CDD505-2E9C-101B-9397-08002B2CF9AE}" pid="6" name="ICV">
    <vt:lpwstr>E1C69AD5D6C54DB98E2E8F47B917E5CD</vt:lpwstr>
  </property>
  <property fmtid="{D5CDD505-2E9C-101B-9397-08002B2CF9AE}" pid="7" name="commondata">
    <vt:lpwstr>eyJoZGlkIjoiZjVhNGJiMWVmZTg4ZjFhYWZhYWFiMzBkODkwYWRkZmUifQ==</vt:lpwstr>
  </property>
</Properties>
</file>